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image/png" PartName="/word/media/image.png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1B2D44" w:rsidR="00B57E17" w:rsidP="001B11D3" w:rsidRDefault="00B34BC6" w14:paraId="8a46859d" w14:textId="8a46859d">
      <w:pPr>
        <w:spacing w:after="120" w:line="276" w:lineRule="auto"/>
        <w:jc w:val="center"/>
        <w15:collapsed w:val="fals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Número 350</w:t>
      </w:r>
    </w:p>
    <w:p w:rsidRPr="001F5301" w:rsidR="00B57E17" w:rsidP="001B11D3" w:rsidRDefault="000A3341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Sessões: 30 e 31 de março de 2021</w:t>
      </w:r>
    </w:p>
    <w:p w:rsidR="004318F3" w:rsidP="00A34AEE" w:rsidRDefault="00C2578B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C2578B">
        <w:rPr>
          <w:rFonts w:ascii="Arial" w:hAnsi="Arial" w:cs="Arial"/>
          <w:sz w:val="18"/>
          <w:szCs w:val="18"/>
        </w:rPr>
        <w:t>Este Boletim contém informações sintéticas de decisões proferidas pelos Colegiados do TCU que receberam indicação de relevância sob o prisma jurisprudencial no período acima indicado. Os enunciados procuram retratar o entendimento das deliberações das quais foram extraídos. As informações aqui apresentadas não constituem, todavia, resumo oficial da decisão proferida pelo Tribunal nem representam, necessariamente, o posicionamento prevalecente do TCU sobre a matéria. O objetivo é facilitar o acompanhamento dos acórdãos mais importantes do TCU. Para aprofundamento, o leitor pode acessar o inteiro teor das deliberações por meio dos links disponíveis.</w:t>
      </w:r>
    </w:p>
    <w:p w:rsidR="00A34AEE" w:rsidP="00A34AEE" w:rsidRDefault="002A6D9A">
      <w:pPr>
        <w:spacing w:after="120"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w:pict>
          <v:line from="443.5pt,1.2pt" to="938.2pt,2pt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id="Conector reto 1" o:spid="_x0000_s1026" strokecolor="#1f497d [3215]" strokeweight="2pt">
            <v:shadow on="t" color="black" opacity="24903f" offset="0,.55556mm" origin=",.5"/>
            <w10:wrap anchorx="margin"/>
          </v:line>
        </w:pict>
      </w:r>
    </w:p>
    <w:p>
      <w:pPr>
        <w:sectPr w:rsidR="00A34AEE" w:rsidSect="00BC4BF5">
          <w:headerReference w:type="default" r:id="rId8"/>
          <w:footerReference w:type="default" r:id="rId9"/>
          <w:type w:val="continuous"/>
          <w:pgSz w:w="11906" w:h="16838" w:code="9"/>
          <w:pgMar w:top="1440" w:right="851" w:bottom="1440" w:left="1134" w:header="709" w:footer="709" w:gutter="0"/>
          <w:cols w:space="708"/>
          <w:docGrid w:linePitch="360"/>
        </w:sectPr>
      </w:pPr>
    </w:p>
    <w:sdt>
      <w:sdtPr>
        <w:id w:val="-2115200591"/>
        <w:lock w:val="contentLocked"/>
        <w:placeholder>
          <w:docPart w:val="DefaultPlaceholder_1081868574"/>
        </w:placeholder>
        <w:group/>
      </w:sdtPr>
      <w:sdtEndPr>
        <w:rPr>
          <w:rFonts w:ascii="Arial" w:hAnsi="Arial" w:eastAsia="Times New Roman" w:cs="Arial"/>
          <w:sz w:val="18"/>
          <w:szCs w:val="18"/>
        </w:rPr>
      </w:sdtEndPr>
      <w:sdtContent>
        <w:p w:rsidRPr="00013687" w:rsidR="00C85D14" w:rsidP="00013687" w:rsidRDefault="008C0B87">
          <w:pPr>
            <w:widowControl w:val="false"/>
            <w:autoSpaceDE w:val="false"/>
            <w:autoSpaceDN w:val="false"/>
            <w:spacing w:before="0" w:after="200" w:line="276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hyperlink w:history="true" r:id="rId12">
            <w:r w:rsidRPr="008B5BD4" w:rsidR="00F23E1A">
              <w:rPr>
                <w:rStyle w:val="Hyperlink"/>
                <w:rFonts w:ascii="Arial" w:hAnsi="Arial"/>
                <w:b/>
                <w:sz w:val="18"/>
                <w:szCs w:val="18"/>
              </w:rPr>
              <w:t>Acórdão 698/2021 Plenário</w:t>
            </w:r>
          </w:hyperlink>
          <w:r w:rsidRPr="008B5BD4" w:rsidR="008C3AEB"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8B5BD4" w:rsidR="004E2384">
            <w:rPr>
              <w:rFonts w:ascii="Arial" w:hAnsi="Arial"/>
              <w:sz w:val="18"/>
              <w:szCs w:val="18"/>
            </w:rPr>
            <w:t xml:space="preserve">(Representação, Relator Ministro Raimundo Carreiro)</w:t>
          </w:r>
        </w:p>
        <w:p w:rsidRPr="00B84D1E" w:rsidR="00550586" w:rsidP="00B84D1E" w:rsidRDefault="00A012B7">
          <w:pPr>
            <w:spacing w:before="0" w:after="200" w:line="276" w:lineRule="auto"/>
            <w:jc w:val="both"/>
            <w:rPr>
              <w:rFonts w:ascii="Arial" w:hAnsi="Arial" w:eastAsia="Times New Roman" w:cs="Arial"/>
              <w:sz w:val="18"/>
              <w:szCs w:val="18"/>
            </w:rPr>
          </w:pPr>
          <w:r w:rsidRPr="008B5BD4">
            <w:rPr>
              <w:rFonts w:ascii="Arial" w:hAnsi="Arial"/>
              <w:sz w:val="18"/>
              <w:szCs w:val="18"/>
            </w:rPr>
            <w:t>Licitação. Serviços contínuos. Serviço de manutenção e reparos. Mão de obra. Ordem de execução de serviço. Remuneração. Metodologia. Critério de seleção. Princípio da seleção da proposta mais vantajosa. </w:t>
          </w:r>
        </w:p>
        <w:p w:rsidR="00B15566" w:rsidP="007A547E" w:rsidRDefault="00B15566">
          <w:pPr>
            <w:pStyle w:val="TCU-Epgrafe"/>
            <w:spacing w:before="0" w:after="200" w:line="276" w:lineRule="auto"/>
            <w:ind w:left="0"/>
            <w:jc w:val="both"/>
            <w:rPr>
              <w:sz w:val="22"/>
              <w:szCs w:val="22"/>
            </w:rPr>
          </w:pPr>
          <w:r w:rsidRPr="0068484F">
            <w:rPr>
              <w:rFonts w:ascii="Arial" w:hAnsi="Arial"/>
              <w:sz w:val="18"/>
              <w:szCs w:val="18"/>
            </w:rPr>
            <w:t xml:space="preserve">A utilização, como critério de seleção para contratação de serviços de manutenção predial, do referencial de custo de postos de trabalho alocados é incompatível com a metodologia de remuneração baseada em ordens de serviços. Além de não garantir a seleção da proposta mais vantajosa para a Administração, tampouco permite estabelecer conexão necessária e suficiente entre os critérios de seleção do fornecedor e os critérios de medição e pagamento do contrato, violando o art. 3º, </w:t>
          </w:r>
          <w:r w:rsidRPr="0068484F">
            <w:rPr>
              <w:rFonts w:ascii="Arial" w:hAnsi="Arial"/>
              <w:i/>
              <w:sz w:val="18"/>
              <w:szCs w:val="18"/>
            </w:rPr>
            <w:t>caput</w:t>
          </w:r>
          <w:r w:rsidRPr="0068484F">
            <w:rPr>
              <w:rFonts w:ascii="Arial" w:hAnsi="Arial"/>
              <w:sz w:val="18"/>
              <w:szCs w:val="18"/>
            </w:rPr>
            <w:t xml:space="preserve">, da </w:t>
          </w:r>
          <w:hyperlink w:history="true" r:id="rId13">
            <w:r w:rsidRPr="0068484F">
              <w:rPr>
                <w:rStyle w:val="Hyperlink"/>
                <w:rFonts w:ascii="Arial" w:hAnsi="Arial"/>
                <w:color w:val="0563C1" w:themeColor="hyperlink"/>
                <w:sz w:val="18"/>
                <w:szCs w:val="18"/>
                <w:u w:val="none"/>
              </w:rPr>
              <w:t>Lei 8.666/1993</w:t>
            </w:r>
          </w:hyperlink>
          <w:r w:rsidRPr="0068484F">
            <w:rPr>
              <w:rFonts w:ascii="Arial" w:hAnsi="Arial"/>
              <w:sz w:val="18"/>
              <w:szCs w:val="18"/>
            </w:rPr>
            <w:t>.</w:t>
          </w:r>
        </w:p>
      </w:sdtContent>
    </w:sdt>
    <w:p>
      <w:pPr>
        <w:sectPr w:rsidRPr="00B84D1E" w:rsidR="00550586" w:rsidSect="00DF5C34">
          <w:type w:val="continuous"/>
          <w:pgSz w:w="11906" w:h="16838" w:code="9"/>
          <w:pgMar w:top="1440" w:right="851" w:bottom="1440" w:left="1134" w:header="709" w:footer="709" w:gutter="0"/>
          <w:cols w:space="708"/>
          <w:docGrid w:linePitch="360"/>
        </w:sectPr>
      </w:pPr>
    </w:p>
    <w:sdt>
      <w:sdtPr>
        <w:lock w:val="contentLocked"/>
        <w:placeholder>
          <w:docPart w:val="DefaultPlaceholder_1081868574"/>
        </w:placeholder>
        <w:group/>
        <w:id w:val="1580314611"/>
      </w:sdtPr>
      <w:sdtEndPr>
        <w:rPr>
          <w:rFonts w:ascii="Arial" w:hAnsi="Arial" w:eastAsia="Times New Roman" w:cs="Arial"/>
          <w:sz w:val="18"/>
          <w:szCs w:val="18"/>
        </w:rPr>
      </w:sdtEndPr>
      <w:sdtContent>
        <w:p w:rsidRPr="00013687" w:rsidR="00C85D14" w:rsidP="00013687" w:rsidRDefault="008C0B87">
          <w:pPr>
            <w:widowControl w:val="false"/>
            <w:autoSpaceDE w:val="false"/>
            <w:autoSpaceDN w:val="false"/>
            <w:spacing w:before="0" w:after="200" w:line="276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hyperlink w:history="true" r:id="rId14">
            <w:r w:rsidRPr="008B5BD4" w:rsidR="00F23E1A">
              <w:rPr>
                <w:rStyle w:val="Hyperlink"/>
                <w:rFonts w:ascii="Arial" w:hAnsi="Arial"/>
                <w:b/>
                <w:sz w:val="18"/>
                <w:szCs w:val="18"/>
              </w:rPr>
              <w:t>Acórdão 701/2021 Plenário</w:t>
            </w:r>
          </w:hyperlink>
          <w:r w:rsidRPr="008B5BD4" w:rsidR="008C3AEB"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8B5BD4" w:rsidR="004E2384">
            <w:rPr>
              <w:rFonts w:ascii="Arial" w:hAnsi="Arial"/>
              <w:sz w:val="18"/>
              <w:szCs w:val="18"/>
            </w:rPr>
            <w:t xml:space="preserve">(Pedido de Reexame, Relator Ministro Bruno Dantas)</w:t>
          </w:r>
        </w:p>
        <w:p w:rsidRPr="00B84D1E" w:rsidR="00550586" w:rsidP="00B84D1E" w:rsidRDefault="00A012B7">
          <w:pPr>
            <w:spacing w:before="0" w:after="200" w:line="276" w:lineRule="auto"/>
            <w:jc w:val="both"/>
            <w:rPr>
              <w:rFonts w:ascii="Arial" w:hAnsi="Arial" w:eastAsia="Times New Roman" w:cs="Arial"/>
              <w:sz w:val="18"/>
              <w:szCs w:val="18"/>
            </w:rPr>
          </w:pPr>
          <w:r w:rsidRPr="008B5BD4">
            <w:rPr>
              <w:rFonts w:ascii="Arial" w:hAnsi="Arial"/>
              <w:sz w:val="18"/>
              <w:szCs w:val="18"/>
            </w:rPr>
            <w:t>Gestão Administrativa. Administração federal. Acesso à informação. Empresa estatal. Alta administração. Agenda de compromissos públicos. Divulgação. </w:t>
          </w:r>
        </w:p>
        <w:p w:rsidRPr="00D602B9" w:rsidR="00F525DB" w:rsidP="00E30BCA" w:rsidRDefault="00F525DB">
          <w:pPr>
            <w:pStyle w:val="TCU-Epgrafe"/>
            <w:spacing w:before="0" w:after="200" w:line="276" w:lineRule="auto"/>
            <w:ind w:left="0"/>
            <w:jc w:val="both"/>
            <w:rPr>
              <w:sz w:val="22"/>
              <w:szCs w:val="22"/>
            </w:rPr>
          </w:pPr>
          <w:r w:rsidRPr="006A06FC">
            <w:rPr>
              <w:rFonts w:ascii="Arial" w:hAnsi="Arial"/>
              <w:sz w:val="18"/>
              <w:szCs w:val="18"/>
            </w:rPr>
            <w:t xml:space="preserve">É obrigatória a divulgação da agenda de compromissos públicos dos cargos da alta administração das empresas estatais, em obediência ao art. 11 da </w:t>
          </w:r>
          <w:hyperlink w:history="true" r:id="rId15">
            <w:r w:rsidRPr="006A06FC">
              <w:rPr>
                <w:rStyle w:val="Hyperlink"/>
                <w:rFonts w:ascii="Arial" w:hAnsi="Arial"/>
                <w:color w:val="0563C1" w:themeColor="hyperlink"/>
                <w:sz w:val="18"/>
                <w:szCs w:val="18"/>
                <w:u w:val="none"/>
              </w:rPr>
              <w:t>Lei 12.813/2013</w:t>
            </w:r>
          </w:hyperlink>
          <w:r w:rsidRPr="006A06FC">
            <w:rPr>
              <w:rFonts w:ascii="Arial" w:hAnsi="Arial"/>
              <w:sz w:val="18"/>
              <w:szCs w:val="18"/>
            </w:rPr>
            <w:t xml:space="preserve"> e conforme requisitos estipulados na </w:t>
          </w:r>
          <w:hyperlink w:history="true" r:id="rId16">
            <w:r w:rsidRPr="006A06FC">
              <w:rPr>
                <w:rStyle w:val="Hyperlink"/>
                <w:rFonts w:ascii="Arial" w:hAnsi="Arial"/>
                <w:color w:val="0563C1" w:themeColor="hyperlink"/>
                <w:sz w:val="18"/>
                <w:szCs w:val="18"/>
                <w:u w:val="none"/>
              </w:rPr>
              <w:t>Resolução 11/2017</w:t>
            </w:r>
          </w:hyperlink>
          <w:r w:rsidRPr="006A06FC">
            <w:rPr>
              <w:rFonts w:ascii="Arial" w:hAnsi="Arial"/>
              <w:sz w:val="18"/>
              <w:szCs w:val="18"/>
            </w:rPr>
            <w:t xml:space="preserve"> da Comissão de Ética Pública.</w:t>
          </w:r>
        </w:p>
      </w:sdtContent>
    </w:sdt>
    <w:p>
      <w:pPr>
        <w:sectPr w:rsidRPr="00B84D1E" w:rsidR="00550586" w:rsidSect="00DF5C34">
          <w:type w:val="continuous"/>
          <w:pgSz w:w="11906" w:h="16838" w:code="9"/>
          <w:pgMar w:top="1440" w:right="851" w:bottom="1440" w:left="1134" w:header="709" w:footer="709" w:gutter="0"/>
          <w:cols w:space="708"/>
          <w:docGrid w:linePitch="360"/>
        </w:sectPr>
      </w:pPr>
    </w:p>
    <w:sdt>
      <w:sdtPr>
        <w:lock w:val="contentLocked"/>
        <w:placeholder>
          <w:docPart w:val="DefaultPlaceholder_1081868574"/>
        </w:placeholder>
        <w:group/>
        <w:id w:val="273429791"/>
      </w:sdtPr>
      <w:sdtEndPr>
        <w:rPr>
          <w:rFonts w:ascii="Arial" w:hAnsi="Arial" w:eastAsia="Times New Roman" w:cs="Arial"/>
          <w:sz w:val="18"/>
          <w:szCs w:val="18"/>
        </w:rPr>
      </w:sdtEndPr>
      <w:sdtContent>
        <w:p w:rsidRPr="00013687" w:rsidR="00C85D14" w:rsidP="00013687" w:rsidRDefault="008C0B87">
          <w:pPr>
            <w:widowControl w:val="false"/>
            <w:autoSpaceDE w:val="false"/>
            <w:autoSpaceDN w:val="false"/>
            <w:spacing w:before="0" w:after="200" w:line="276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hyperlink w:history="true" r:id="rId17">
            <w:r w:rsidRPr="008B5BD4" w:rsidR="00F23E1A">
              <w:rPr>
                <w:rStyle w:val="Hyperlink"/>
                <w:rFonts w:ascii="Arial" w:hAnsi="Arial"/>
                <w:b/>
                <w:sz w:val="18"/>
                <w:szCs w:val="18"/>
              </w:rPr>
              <w:t>Acórdão 715/2021 Plenário</w:t>
            </w:r>
          </w:hyperlink>
          <w:r w:rsidRPr="008B5BD4" w:rsidR="008C3AEB"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8B5BD4" w:rsidR="004E2384">
            <w:rPr>
              <w:rFonts w:ascii="Arial" w:hAnsi="Arial"/>
              <w:sz w:val="18"/>
              <w:szCs w:val="18"/>
            </w:rPr>
            <w:t xml:space="preserve">(Representação, Relator Ministro Raimundo Carreiro)</w:t>
          </w:r>
        </w:p>
        <w:p w:rsidRPr="00B84D1E" w:rsidR="00550586" w:rsidP="00B84D1E" w:rsidRDefault="00A012B7">
          <w:pPr>
            <w:spacing w:before="0" w:after="200" w:line="276" w:lineRule="auto"/>
            <w:jc w:val="both"/>
            <w:rPr>
              <w:rFonts w:ascii="Arial" w:hAnsi="Arial" w:eastAsia="Times New Roman" w:cs="Arial"/>
              <w:sz w:val="18"/>
              <w:szCs w:val="18"/>
            </w:rPr>
          </w:pPr>
          <w:r w:rsidRPr="008B5BD4">
            <w:rPr>
              <w:rFonts w:ascii="Arial" w:hAnsi="Arial"/>
              <w:sz w:val="18"/>
              <w:szCs w:val="18"/>
            </w:rPr>
            <w:t>Contrato Administrativo. Sanção administrativa. Inadimplência. Multa. Limite máximo. </w:t>
          </w:r>
        </w:p>
        <w:p w:rsidRPr="00FA65FE" w:rsidR="00FA65FE" w:rsidP="00E30BCA" w:rsidRDefault="00FA65FE">
          <w:pPr>
            <w:pStyle w:val="TCU-Epgrafe"/>
            <w:spacing w:before="0" w:after="200" w:line="276" w:lineRule="auto"/>
            <w:ind w:left="0"/>
            <w:jc w:val="both"/>
            <w:rPr>
              <w:sz w:val="22"/>
              <w:szCs w:val="22"/>
            </w:rPr>
          </w:pPr>
          <w:r w:rsidRPr="00402E0C">
            <w:rPr>
              <w:rFonts w:ascii="Arial" w:hAnsi="Arial"/>
              <w:sz w:val="18"/>
              <w:szCs w:val="18"/>
            </w:rPr>
            <w:t xml:space="preserve">É lícita a fixação de multa no valor de 20% sobre a parcela inadimplida do contrato. O limite de 10% para a cláusula penal previsto no art. 9º do </w:t>
          </w:r>
          <w:hyperlink w:history="true" r:id="rId18">
            <w:r w:rsidRPr="00402E0C">
              <w:rPr>
                <w:rStyle w:val="Hyperlink"/>
                <w:rFonts w:ascii="Arial" w:hAnsi="Arial"/>
                <w:color w:val="0563C1" w:themeColor="hyperlink"/>
                <w:sz w:val="18"/>
                <w:szCs w:val="18"/>
                <w:u w:val="none"/>
              </w:rPr>
              <w:t>Decreto 22.626/1933</w:t>
            </w:r>
          </w:hyperlink>
          <w:r w:rsidRPr="00402E0C">
            <w:rPr>
              <w:rStyle w:val="Hyperlink"/>
              <w:rFonts w:ascii="Arial" w:hAnsi="Arial"/>
              <w:sz w:val="18"/>
              <w:szCs w:val="18"/>
              <w:u w:val="none"/>
            </w:rPr>
            <w:t xml:space="preserve"> </w:t>
          </w:r>
          <w:r w:rsidRPr="00402E0C">
            <w:rPr>
              <w:rFonts w:ascii="Arial" w:hAnsi="Arial"/>
              <w:sz w:val="18"/>
              <w:szCs w:val="18"/>
            </w:rPr>
            <w:t xml:space="preserve">(Lei da Usura) não é aplicável aos contratos administrativos, e sim o estabelecido no art. 412 do </w:t>
          </w:r>
          <w:hyperlink w:history="true" r:id="rId19">
            <w:r w:rsidRPr="00402E0C">
              <w:rPr>
                <w:rStyle w:val="Hyperlink"/>
                <w:rFonts w:ascii="Arial" w:hAnsi="Arial"/>
                <w:color w:val="0563C1" w:themeColor="hyperlink"/>
                <w:sz w:val="18"/>
                <w:szCs w:val="18"/>
                <w:u w:val="none"/>
              </w:rPr>
              <w:t>Código Civil</w:t>
            </w:r>
          </w:hyperlink>
          <w:r w:rsidRPr="00402E0C" w:rsidR="00402E0C">
            <w:rPr>
              <w:rFonts w:ascii="Arial" w:hAnsi="Arial"/>
              <w:sz w:val="18"/>
              <w:szCs w:val="18"/>
            </w:rPr>
            <w:t xml:space="preserve"> – aplicado supletivamente às contratações públicas por força do art. 54, </w:t>
          </w:r>
          <w:r w:rsidRPr="00402E0C">
            <w:rPr>
              <w:rFonts w:ascii="Arial" w:hAnsi="Arial"/>
              <w:i/>
              <w:sz w:val="18"/>
              <w:szCs w:val="18"/>
            </w:rPr>
            <w:t>caput</w:t>
          </w:r>
          <w:r w:rsidRPr="00402E0C">
            <w:rPr>
              <w:rFonts w:ascii="Arial" w:hAnsi="Arial"/>
              <w:sz w:val="18"/>
              <w:szCs w:val="18"/>
            </w:rPr>
            <w:t xml:space="preserve">, da </w:t>
          </w:r>
          <w:hyperlink w:history="true" r:id="rId13">
            <w:r w:rsidRPr="00402E0C">
              <w:rPr>
                <w:rStyle w:val="Hyperlink"/>
                <w:rFonts w:ascii="Arial" w:hAnsi="Arial"/>
                <w:color w:val="0563C1" w:themeColor="hyperlink"/>
                <w:sz w:val="18"/>
                <w:szCs w:val="18"/>
                <w:u w:val="none"/>
              </w:rPr>
              <w:t>Lei 8.666/1993</w:t>
            </w:r>
          </w:hyperlink>
          <w:r w:rsidRPr="00402E0C" w:rsidR="00402E0C">
            <w:rPr>
              <w:rFonts w:ascii="Arial" w:hAnsi="Arial"/>
              <w:sz w:val="18"/>
              <w:szCs w:val="18"/>
            </w:rPr>
            <w:t xml:space="preserve"> –, segundo o qual o limite para a estipulação da penalidade é o valor da obrigação principal.</w:t>
          </w:r>
        </w:p>
      </w:sdtContent>
    </w:sdt>
    <w:p>
      <w:pPr>
        <w:sectPr w:rsidRPr="00B84D1E" w:rsidR="00550586" w:rsidSect="00DF5C34">
          <w:type w:val="continuous"/>
          <w:pgSz w:w="11906" w:h="16838" w:code="9"/>
          <w:pgMar w:top="1440" w:right="851" w:bottom="1440" w:left="1134" w:header="709" w:footer="709" w:gutter="0"/>
          <w:cols w:space="708"/>
          <w:docGrid w:linePitch="360"/>
        </w:sectPr>
      </w:pPr>
    </w:p>
    <w:sdt>
      <w:sdtPr>
        <w:lock w:val="contentLocked"/>
        <w:placeholder>
          <w:docPart w:val="DefaultPlaceholder_1081868574"/>
        </w:placeholder>
        <w:group/>
        <w:id w:val="1886631426"/>
      </w:sdtPr>
      <w:sdtEndPr>
        <w:rPr>
          <w:rFonts w:ascii="Arial" w:hAnsi="Arial" w:eastAsia="Times New Roman" w:cs="Arial"/>
          <w:sz w:val="18"/>
          <w:szCs w:val="18"/>
        </w:rPr>
      </w:sdtEndPr>
      <w:sdtContent>
        <w:p w:rsidRPr="00013687" w:rsidR="00C85D14" w:rsidP="00013687" w:rsidRDefault="008C0B87">
          <w:pPr>
            <w:widowControl w:val="false"/>
            <w:autoSpaceDE w:val="false"/>
            <w:autoSpaceDN w:val="false"/>
            <w:spacing w:before="0" w:after="200" w:line="276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hyperlink w:history="true" r:id="rId20">
            <w:r w:rsidRPr="008B5BD4" w:rsidR="00F23E1A">
              <w:rPr>
                <w:rStyle w:val="Hyperlink"/>
                <w:rFonts w:ascii="Arial" w:hAnsi="Arial"/>
                <w:b/>
                <w:sz w:val="18"/>
                <w:szCs w:val="18"/>
              </w:rPr>
              <w:t>Acórdão 724/2021 Plenário</w:t>
            </w:r>
          </w:hyperlink>
          <w:r w:rsidRPr="008B5BD4" w:rsidR="008C3AEB"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8B5BD4" w:rsidR="004E2384">
            <w:rPr>
              <w:rFonts w:ascii="Arial" w:hAnsi="Arial"/>
              <w:sz w:val="18"/>
              <w:szCs w:val="18"/>
            </w:rPr>
            <w:t xml:space="preserve">(Denúncia, Relator Ministro Bruno Dantas)</w:t>
          </w:r>
        </w:p>
        <w:p w:rsidRPr="00B84D1E" w:rsidR="00550586" w:rsidP="00B84D1E" w:rsidRDefault="00A012B7">
          <w:pPr>
            <w:spacing w:before="0" w:after="200" w:line="276" w:lineRule="auto"/>
            <w:jc w:val="both"/>
            <w:rPr>
              <w:rFonts w:ascii="Arial" w:hAnsi="Arial" w:eastAsia="Times New Roman" w:cs="Arial"/>
              <w:sz w:val="18"/>
              <w:szCs w:val="18"/>
            </w:rPr>
          </w:pPr>
          <w:r w:rsidRPr="008B5BD4">
            <w:rPr>
              <w:rFonts w:ascii="Arial" w:hAnsi="Arial"/>
              <w:sz w:val="18"/>
              <w:szCs w:val="18"/>
            </w:rPr>
            <w:t>Responsabilidade. Multa. Circunstância atenuante. Dosimetria. Parecer jurídico. </w:t>
          </w:r>
        </w:p>
        <w:p w:rsidR="00344AF3" w:rsidP="00344AF3" w:rsidRDefault="00344AF3">
          <w:pPr>
            <w:pStyle w:val="TCU-Epgrafe"/>
            <w:spacing w:before="0" w:after="200" w:line="276" w:lineRule="auto"/>
            <w:ind w:left="0"/>
            <w:jc w:val="both"/>
            <w:rPr>
              <w:sz w:val="22"/>
              <w:szCs w:val="22"/>
            </w:rPr>
          </w:pPr>
          <w:r w:rsidRPr="00A45E56">
            <w:rPr>
              <w:rFonts w:ascii="Arial" w:hAnsi="Arial"/>
              <w:sz w:val="18"/>
              <w:szCs w:val="18"/>
            </w:rPr>
            <w:t>A existência de parecer jurídico não é suficiente para afastar a responsabilidade do agente público pela prática de ato irregular, entretanto pode ser considerada circunstância atenuante na dosimetria da pena.</w:t>
          </w:r>
        </w:p>
      </w:sdtContent>
    </w:sdt>
    <w:p>
      <w:pPr>
        <w:sectPr w:rsidRPr="00B84D1E" w:rsidR="00550586" w:rsidSect="00DF5C34">
          <w:type w:val="continuous"/>
          <w:pgSz w:w="11906" w:h="16838" w:code="9"/>
          <w:pgMar w:top="1440" w:right="851" w:bottom="1440" w:left="1134" w:header="709" w:footer="709" w:gutter="0"/>
          <w:cols w:space="708"/>
          <w:docGrid w:linePitch="360"/>
        </w:sectPr>
      </w:pPr>
    </w:p>
    <w:sdt>
      <w:sdtPr>
        <w:lock w:val="contentLocked"/>
        <w:placeholder>
          <w:docPart w:val="DefaultPlaceholder_1081868574"/>
        </w:placeholder>
        <w:group/>
        <w:id w:val="1929302415"/>
      </w:sdtPr>
      <w:sdtEndPr>
        <w:rPr>
          <w:rFonts w:ascii="Arial" w:hAnsi="Arial" w:eastAsia="Times New Roman" w:cs="Arial"/>
          <w:sz w:val="18"/>
          <w:szCs w:val="18"/>
        </w:rPr>
      </w:sdtEndPr>
      <w:sdtContent>
        <w:p w:rsidRPr="00013687" w:rsidR="00C85D14" w:rsidP="00013687" w:rsidRDefault="008C0B87">
          <w:pPr>
            <w:widowControl w:val="false"/>
            <w:autoSpaceDE w:val="false"/>
            <w:autoSpaceDN w:val="false"/>
            <w:spacing w:before="0" w:after="200" w:line="276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hyperlink w:history="true" r:id="rId21">
            <w:r w:rsidRPr="008B5BD4" w:rsidR="00F23E1A">
              <w:rPr>
                <w:rStyle w:val="Hyperlink"/>
                <w:rFonts w:ascii="Arial" w:hAnsi="Arial"/>
                <w:b/>
                <w:sz w:val="18"/>
                <w:szCs w:val="18"/>
              </w:rPr>
              <w:t>Acórdão 735/2021 Plenário</w:t>
            </w:r>
          </w:hyperlink>
          <w:r w:rsidRPr="008B5BD4" w:rsidR="008C3AEB"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8B5BD4" w:rsidR="004E2384">
            <w:rPr>
              <w:rFonts w:ascii="Arial" w:hAnsi="Arial"/>
              <w:sz w:val="18"/>
              <w:szCs w:val="18"/>
            </w:rPr>
            <w:t xml:space="preserve">(Pedido de Reexame, Relator Ministro-Substituto Marcos Bemquerer)</w:t>
          </w:r>
        </w:p>
        <w:p w:rsidRPr="00B84D1E" w:rsidR="00550586" w:rsidP="00B84D1E" w:rsidRDefault="00A012B7">
          <w:pPr>
            <w:spacing w:before="0" w:after="200" w:line="276" w:lineRule="auto"/>
            <w:jc w:val="both"/>
            <w:rPr>
              <w:rFonts w:ascii="Arial" w:hAnsi="Arial" w:eastAsia="Times New Roman" w:cs="Arial"/>
              <w:sz w:val="18"/>
              <w:szCs w:val="18"/>
            </w:rPr>
          </w:pPr>
          <w:r w:rsidRPr="008B5BD4">
            <w:rPr>
              <w:rFonts w:ascii="Arial" w:hAnsi="Arial"/>
              <w:sz w:val="18"/>
              <w:szCs w:val="18"/>
            </w:rPr>
            <w:t>Pessoal. Subsídio. Quintos. Conselho Nacional do Ministério Público. Ato normativo. Competência do TCU. </w:t>
          </w:r>
        </w:p>
        <w:p w:rsidRPr="007F09EF" w:rsidR="00B575F5" w:rsidP="007F09EF" w:rsidRDefault="00B575F5">
          <w:pPr>
            <w:pStyle w:val="TCU-Epgrafe"/>
            <w:spacing w:before="0" w:after="200" w:line="276" w:lineRule="auto"/>
            <w:ind w:left="0"/>
            <w:jc w:val="both"/>
            <w:rPr>
              <w:sz w:val="22"/>
              <w:szCs w:val="22"/>
            </w:rPr>
          </w:pPr>
          <w:r w:rsidRPr="007F09EF">
            <w:rPr>
              <w:rFonts w:ascii="Arial" w:hAnsi="Arial"/>
              <w:sz w:val="18"/>
              <w:szCs w:val="18"/>
            </w:rPr>
            <w:t xml:space="preserve">Resolução do Conselho Nacional do Ministério Público (CNMP) que permita o pagamento de vantagem pessoal decorrente da incorporação de quintos ou décimos em conjunto com subsídio não se sobrepõe ao entendimento do TCU em sentido contrário, porquanto cabe ao Tribunal a palavra final no que diz respeito à legalidade dos atos de admissão e concessões, nos termos do art. 71, inciso III, da </w:t>
          </w:r>
          <w:hyperlink w:history="true" r:id="rId22">
            <w:r w:rsidRPr="007F09EF">
              <w:rPr>
                <w:rStyle w:val="Hyperlink"/>
                <w:rFonts w:ascii="Arial" w:hAnsi="Arial"/>
                <w:color w:val="0563C1" w:themeColor="hyperlink"/>
                <w:sz w:val="18"/>
                <w:szCs w:val="18"/>
                <w:u w:val="none"/>
              </w:rPr>
              <w:t>Constituição Federal</w:t>
            </w:r>
          </w:hyperlink>
          <w:r w:rsidRPr="007F09EF">
            <w:rPr>
              <w:rFonts w:ascii="Arial" w:hAnsi="Arial"/>
              <w:sz w:val="18"/>
              <w:szCs w:val="18"/>
            </w:rPr>
            <w:t>.</w:t>
          </w:r>
        </w:p>
      </w:sdtContent>
    </w:sdt>
    <w:p>
      <w:pPr>
        <w:sectPr w:rsidRPr="00B84D1E" w:rsidR="00550586" w:rsidSect="00DF5C34">
          <w:type w:val="continuous"/>
          <w:pgSz w:w="11906" w:h="16838" w:code="9"/>
          <w:pgMar w:top="1440" w:right="851" w:bottom="1440" w:left="1134" w:header="709" w:footer="709" w:gutter="0"/>
          <w:cols w:space="708"/>
          <w:docGrid w:linePitch="360"/>
        </w:sectPr>
      </w:pPr>
    </w:p>
    <w:sdt>
      <w:sdtPr>
        <w:lock w:val="contentLocked"/>
        <w:placeholder>
          <w:docPart w:val="DefaultPlaceholder_1081868574"/>
        </w:placeholder>
        <w:group/>
        <w:id w:val="794922828"/>
      </w:sdtPr>
      <w:sdtEndPr>
        <w:rPr>
          <w:rFonts w:ascii="Arial" w:hAnsi="Arial" w:eastAsia="Times New Roman" w:cs="Arial"/>
          <w:sz w:val="18"/>
          <w:szCs w:val="18"/>
        </w:rPr>
      </w:sdtEndPr>
      <w:sdtContent>
        <w:p w:rsidRPr="00013687" w:rsidR="00C85D14" w:rsidP="00013687" w:rsidRDefault="008C0B87">
          <w:pPr>
            <w:widowControl w:val="false"/>
            <w:autoSpaceDE w:val="false"/>
            <w:autoSpaceDN w:val="false"/>
            <w:spacing w:before="0" w:after="200" w:line="276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hyperlink w:history="true" r:id="rId23">
            <w:r w:rsidRPr="008B5BD4" w:rsidR="00F23E1A">
              <w:rPr>
                <w:rStyle w:val="Hyperlink"/>
                <w:rFonts w:ascii="Arial" w:hAnsi="Arial"/>
                <w:b/>
                <w:sz w:val="18"/>
                <w:szCs w:val="18"/>
              </w:rPr>
              <w:t>Acórdão 736/2021 Plenário</w:t>
            </w:r>
          </w:hyperlink>
          <w:r w:rsidRPr="008B5BD4" w:rsidR="008C3AEB"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8B5BD4" w:rsidR="004E2384">
            <w:rPr>
              <w:rFonts w:ascii="Arial" w:hAnsi="Arial"/>
              <w:sz w:val="18"/>
              <w:szCs w:val="18"/>
            </w:rPr>
            <w:t xml:space="preserve">(Recurso de Reconsideração, Relator Ministro-Substituto Marcos Bemquerer)</w:t>
          </w:r>
        </w:p>
        <w:p w:rsidRPr="00B84D1E" w:rsidR="00550586" w:rsidP="00B84D1E" w:rsidRDefault="00A012B7">
          <w:pPr>
            <w:spacing w:before="0" w:after="200" w:line="276" w:lineRule="auto"/>
            <w:jc w:val="both"/>
            <w:rPr>
              <w:rFonts w:ascii="Arial" w:hAnsi="Arial" w:eastAsia="Times New Roman" w:cs="Arial"/>
              <w:sz w:val="18"/>
              <w:szCs w:val="18"/>
            </w:rPr>
          </w:pPr>
          <w:r w:rsidRPr="008B5BD4">
            <w:rPr>
              <w:rFonts w:ascii="Arial" w:hAnsi="Arial"/>
              <w:sz w:val="18"/>
              <w:szCs w:val="18"/>
            </w:rPr>
            <w:t>Responsabilidade. Convênio. Execução física. Comprovação. Contratado. Prestação de contas. </w:t>
          </w:r>
        </w:p>
        <w:p w:rsidRPr="007E05B2" w:rsidR="007E05B2" w:rsidP="00BF43D2" w:rsidRDefault="007E05B2">
          <w:pPr>
            <w:pStyle w:val="TCU-Epgrafe"/>
            <w:spacing w:before="0" w:after="200" w:line="276" w:lineRule="auto"/>
            <w:ind w:left="0"/>
            <w:jc w:val="both"/>
            <w:rPr>
              <w:sz w:val="22"/>
              <w:szCs w:val="22"/>
            </w:rPr>
          </w:pPr>
          <w:r w:rsidRPr="007E05B2">
            <w:rPr>
              <w:rFonts w:ascii="Arial" w:hAnsi="Arial"/>
              <w:sz w:val="18"/>
              <w:szCs w:val="18"/>
            </w:rPr>
            <w:t xml:space="preserve">Embora a empresa contratada para executar o objeto do convênio não tenha a obrigação de prestar contas dos recursos públicos utilizados no ajuste, o que é responsabilidade do convenente, tal fato não é suficiente para dispensá-la da necessidade de comprovação dos serviços por ela prestados, pois o TCU tem a prerrogativa de responsabilizar o particular que recebeu recursos públicos federais para consecução de objeto conveniado cuja execução física não foi comprovada.</w:t>
          </w:r>
        </w:p>
      </w:sdtContent>
    </w:sdt>
    <w:p>
      <w:pPr>
        <w:sectPr w:rsidRPr="00B84D1E" w:rsidR="00550586" w:rsidSect="00DF5C34">
          <w:type w:val="continuous"/>
          <w:pgSz w:w="11906" w:h="16838" w:code="9"/>
          <w:pgMar w:top="1440" w:right="851" w:bottom="1440" w:left="1134" w:header="709" w:footer="709" w:gutter="0"/>
          <w:cols w:space="708"/>
          <w:docGrid w:linePitch="360"/>
        </w:sectPr>
      </w:pPr>
    </w:p>
    <w:sdt>
      <w:sdtPr>
        <w:lock w:val="contentLocked"/>
        <w:placeholder>
          <w:docPart w:val="DefaultPlaceholder_1081868574"/>
        </w:placeholder>
        <w:group/>
        <w:id w:val="836384046"/>
      </w:sdtPr>
      <w:sdtEndPr>
        <w:rPr>
          <w:rFonts w:ascii="Arial" w:hAnsi="Arial" w:eastAsia="Times New Roman" w:cs="Arial"/>
          <w:sz w:val="18"/>
          <w:szCs w:val="18"/>
        </w:rPr>
      </w:sdtEndPr>
      <w:sdtContent>
        <w:p w:rsidRPr="00013687" w:rsidR="00C85D14" w:rsidP="00013687" w:rsidRDefault="008C0B87">
          <w:pPr>
            <w:widowControl w:val="false"/>
            <w:autoSpaceDE w:val="false"/>
            <w:autoSpaceDN w:val="false"/>
            <w:spacing w:before="0" w:after="200" w:line="276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hyperlink w:history="true" r:id="rId24">
            <w:r w:rsidRPr="008B5BD4" w:rsidR="00F23E1A">
              <w:rPr>
                <w:rStyle w:val="Hyperlink"/>
                <w:rFonts w:ascii="Arial" w:hAnsi="Arial"/>
                <w:b/>
                <w:sz w:val="18"/>
                <w:szCs w:val="18"/>
              </w:rPr>
              <w:t>Acórdão 740/2021 Plenário</w:t>
            </w:r>
          </w:hyperlink>
          <w:r w:rsidRPr="008B5BD4" w:rsidR="008C3AEB"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8B5BD4" w:rsidR="004E2384">
            <w:rPr>
              <w:rFonts w:ascii="Arial" w:hAnsi="Arial"/>
              <w:sz w:val="18"/>
              <w:szCs w:val="18"/>
            </w:rPr>
            <w:t xml:space="preserve">(Representação, Relator Ministro-Substituto Weder de Oliveira)</w:t>
          </w:r>
        </w:p>
        <w:p w:rsidRPr="00B84D1E" w:rsidR="00550586" w:rsidP="00B84D1E" w:rsidRDefault="00A012B7">
          <w:pPr>
            <w:spacing w:before="0" w:after="200" w:line="276" w:lineRule="auto"/>
            <w:jc w:val="both"/>
            <w:rPr>
              <w:rFonts w:ascii="Arial" w:hAnsi="Arial" w:eastAsia="Times New Roman" w:cs="Arial"/>
              <w:sz w:val="18"/>
              <w:szCs w:val="18"/>
            </w:rPr>
          </w:pPr>
          <w:r w:rsidRPr="008B5BD4">
            <w:rPr>
              <w:rFonts w:ascii="Arial" w:hAnsi="Arial"/>
              <w:sz w:val="18"/>
              <w:szCs w:val="18"/>
            </w:rPr>
            <w:t>Pessoal. Teto constitucional. Acumulação de cargo público. Cargo em comissão. Aposentadoria. Proventos. </w:t>
          </w:r>
        </w:p>
        <w:p w:rsidRPr="00FC7228" w:rsidR="002E7366" w:rsidP="00FC7228" w:rsidRDefault="00484A06">
          <w:pPr>
            <w:pStyle w:val="TCU-Epgrafe"/>
            <w:spacing w:before="0" w:after="200" w:line="276" w:lineRule="auto"/>
            <w:ind w:left="0"/>
            <w:jc w:val="both"/>
            <w:rPr>
              <w:sz w:val="22"/>
              <w:szCs w:val="22"/>
            </w:rPr>
          </w:pPr>
          <w:r w:rsidRPr="00484A06">
            <w:rPr>
              <w:rFonts w:ascii="Arial" w:hAnsi="Arial"/>
              <w:sz w:val="18"/>
              <w:szCs w:val="18"/>
            </w:rPr>
            <w:fldChar w:fldCharType="end"/>
            <w:t xml:space="preserve">Na hipótese de acumulação de proventos de aposentadoria com remuneração decorrente do exercício de cargo em comissão, considera-se, para fins de incidência do teto previsto no art. 37, inciso XI, da </w:t>
          </w:r>
          <w:hyperlink w:history="true" r:id="rId22">
            <w:r w:rsidRPr="00FC7228">
              <w:rPr>
                <w:rStyle w:val="Hyperlink"/>
                <w:rFonts w:ascii="Arial" w:hAnsi="Arial"/>
                <w:color w:val="0563C1" w:themeColor="hyperlink"/>
                <w:sz w:val="18"/>
                <w:szCs w:val="18"/>
                <w:u w:val="none"/>
              </w:rPr>
              <w:t>Constituição Federal</w:t>
            </w:r>
          </w:hyperlink>
          <w:r w:rsidRPr="00FC7228">
            <w:rPr>
              <w:rFonts w:ascii="Arial" w:hAnsi="Arial"/>
              <w:sz w:val="18"/>
              <w:szCs w:val="18"/>
            </w:rPr>
            <w:t>, cada rendimento isoladamente.</w:t>
          </w:r>
        </w:p>
      </w:sdtContent>
    </w:sdt>
    <w:p>
      <w:pPr>
        <w:sectPr w:rsidRPr="00B84D1E" w:rsidR="00550586" w:rsidSect="00DF5C34">
          <w:type w:val="continuous"/>
          <w:pgSz w:w="11906" w:h="16838" w:code="9"/>
          <w:pgMar w:top="1440" w:right="851" w:bottom="1440" w:left="1134" w:header="709" w:footer="709" w:gutter="0"/>
          <w:cols w:space="708"/>
          <w:docGrid w:linePitch="360"/>
        </w:sectPr>
      </w:pPr>
    </w:p>
    <w:sdt>
      <w:sdtPr>
        <w:lock w:val="contentLocked"/>
        <w:placeholder>
          <w:docPart w:val="DefaultPlaceholder_1081868574"/>
        </w:placeholder>
        <w:group/>
        <w:id w:val="130444619"/>
      </w:sdtPr>
      <w:sdtEndPr>
        <w:rPr>
          <w:rFonts w:ascii="Arial" w:hAnsi="Arial" w:eastAsia="Times New Roman" w:cs="Arial"/>
          <w:sz w:val="18"/>
          <w:szCs w:val="18"/>
        </w:rPr>
      </w:sdtEndPr>
      <w:sdtContent>
        <w:p w:rsidRPr="00013687" w:rsidR="00C85D14" w:rsidP="00013687" w:rsidRDefault="008C0B87">
          <w:pPr>
            <w:widowControl w:val="false"/>
            <w:autoSpaceDE w:val="false"/>
            <w:autoSpaceDN w:val="false"/>
            <w:spacing w:before="0" w:after="200" w:line="276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hyperlink w:history="true" r:id="rId25">
            <w:r w:rsidRPr="008B5BD4" w:rsidR="00F23E1A">
              <w:rPr>
                <w:rStyle w:val="Hyperlink"/>
                <w:rFonts w:ascii="Arial" w:hAnsi="Arial"/>
                <w:b/>
                <w:sz w:val="18"/>
                <w:szCs w:val="18"/>
              </w:rPr>
              <w:t>Acórdão 741/2021 Plenário</w:t>
            </w:r>
          </w:hyperlink>
          <w:r w:rsidRPr="008B5BD4" w:rsidR="008C3AEB"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8B5BD4" w:rsidR="004E2384">
            <w:rPr>
              <w:rFonts w:ascii="Arial" w:hAnsi="Arial"/>
              <w:sz w:val="18"/>
              <w:szCs w:val="18"/>
            </w:rPr>
            <w:t xml:space="preserve">(Recurso de Reconsideração, Revisor Ministro Benjamin Zymler)</w:t>
          </w:r>
        </w:p>
        <w:p w:rsidRPr="00B84D1E" w:rsidR="00550586" w:rsidP="00B84D1E" w:rsidRDefault="00A012B7">
          <w:pPr>
            <w:spacing w:before="0" w:after="200" w:line="276" w:lineRule="auto"/>
            <w:jc w:val="both"/>
            <w:rPr>
              <w:rFonts w:ascii="Arial" w:hAnsi="Arial" w:eastAsia="Times New Roman" w:cs="Arial"/>
              <w:sz w:val="18"/>
              <w:szCs w:val="18"/>
            </w:rPr>
          </w:pPr>
          <w:r w:rsidRPr="008B5BD4">
            <w:rPr>
              <w:rFonts w:ascii="Arial" w:hAnsi="Arial"/>
              <w:sz w:val="18"/>
              <w:szCs w:val="18"/>
            </w:rPr>
            <w:t>Direito Processual. Sobrestamento de processo. Decisão judicial. STF. Repercussão geral. Ressarcimento ao erário. Prescrição. </w:t>
          </w:r>
        </w:p>
        <w:p w:rsidR="00407410" w:rsidP="002C750F" w:rsidRDefault="00407410">
          <w:pPr>
            <w:pStyle w:val="TCU-Epgrafe"/>
            <w:spacing w:before="0" w:after="200" w:line="276" w:lineRule="auto"/>
            <w:ind w:left="0"/>
            <w:jc w:val="both"/>
            <w:rPr>
              <w:sz w:val="22"/>
              <w:szCs w:val="22"/>
            </w:rPr>
          </w:pPr>
          <w:r>
            <w:rPr>
              <w:rFonts w:ascii="Arial" w:hAnsi="Arial"/>
              <w:sz w:val="18"/>
              <w:szCs w:val="18"/>
            </w:rPr>
            <w:t xml:space="preserve">Não cabe o sobrestamento de processos em trâmite no TCU, nos quais esteja em questão a prescritibilidade da pretensão de ressarcimento ao erário, até a decisão definitiva do STF no RE 636.886 (Tema 899 da Repercussão Geral), uma vez que a suspensão de que trata o art. 1.035, § 5º, do </w:t>
          </w:r>
          <w:hyperlink w:history="true" r:id="rId26">
            <w:r w:rsidRPr="000976AB">
              <w:rPr>
                <w:rStyle w:val="Hyperlink"/>
                <w:rFonts w:ascii="Arial" w:hAnsi="Arial"/>
                <w:color w:val="0563C1" w:themeColor="hyperlink"/>
                <w:sz w:val="18"/>
                <w:szCs w:val="18"/>
                <w:u w:val="none"/>
              </w:rPr>
              <w:t>CPC</w:t>
            </w:r>
          </w:hyperlink>
          <w:r w:rsidRPr="000976AB">
            <w:rPr>
              <w:rFonts w:ascii="Arial" w:hAnsi="Arial"/>
              <w:sz w:val="18"/>
              <w:szCs w:val="18"/>
            </w:rPr>
            <w:t xml:space="preserve"> não alcança os processos no âmbito do controle externo.</w:t>
          </w:r>
        </w:p>
        <w:bookmarkStart w:name="_GoBack" w:id="0"/>
        <w:bookmarkEnd w:id="0"/>
      </w:sdtContent>
    </w:sdt>
    <w:p>
      <w:pPr>
        <w:sectPr w:rsidRPr="00B84D1E" w:rsidR="00550586" w:rsidSect="00DF5C34">
          <w:type w:val="continuous"/>
          <w:pgSz w:w="11906" w:h="16838" w:code="9"/>
          <w:pgMar w:top="1440" w:right="851" w:bottom="1440" w:left="1134" w:header="709" w:footer="709" w:gutter="0"/>
          <w:cols w:space="708"/>
          <w:docGrid w:linePitch="360"/>
        </w:sectPr>
      </w:pPr>
    </w:p>
    <w:sdt>
      <w:sdtPr>
        <w:lock w:val="contentLocked"/>
        <w:placeholder>
          <w:docPart w:val="DefaultPlaceholder_1081868574"/>
        </w:placeholder>
        <w:group/>
        <w:id w:val="1918591815"/>
      </w:sdtPr>
      <w:sdtEndPr>
        <w:rPr>
          <w:rFonts w:ascii="Arial" w:hAnsi="Arial" w:eastAsia="Times New Roman" w:cs="Arial"/>
          <w:sz w:val="18"/>
          <w:szCs w:val="18"/>
        </w:rPr>
      </w:sdtEndPr>
      <w:sdtContent>
        <w:p w:rsidRPr="00013687" w:rsidR="00C85D14" w:rsidP="00013687" w:rsidRDefault="008C0B87">
          <w:pPr>
            <w:widowControl w:val="false"/>
            <w:autoSpaceDE w:val="false"/>
            <w:autoSpaceDN w:val="false"/>
            <w:spacing w:before="0" w:after="200" w:line="276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hyperlink w:history="true" r:id="rId27">
            <w:r w:rsidRPr="008B5BD4" w:rsidR="00F23E1A">
              <w:rPr>
                <w:rStyle w:val="Hyperlink"/>
                <w:rFonts w:ascii="Arial" w:hAnsi="Arial"/>
                <w:b/>
                <w:sz w:val="18"/>
                <w:szCs w:val="18"/>
              </w:rPr>
              <w:t>Acórdão 5330/2021 Primeira Câmara</w:t>
            </w:r>
          </w:hyperlink>
          <w:r w:rsidRPr="008B5BD4" w:rsidR="008C3AEB"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8B5BD4" w:rsidR="004E2384">
            <w:rPr>
              <w:rFonts w:ascii="Arial" w:hAnsi="Arial"/>
              <w:sz w:val="18"/>
              <w:szCs w:val="18"/>
            </w:rPr>
            <w:t xml:space="preserve">(Tomada de Contas Especial, Relator Ministro Jorge Oliveira)</w:t>
          </w:r>
        </w:p>
        <w:p w:rsidRPr="00B84D1E" w:rsidR="00550586" w:rsidP="00B84D1E" w:rsidRDefault="00A012B7">
          <w:pPr>
            <w:spacing w:before="0" w:after="200" w:line="276" w:lineRule="auto"/>
            <w:jc w:val="both"/>
            <w:rPr>
              <w:rFonts w:ascii="Arial" w:hAnsi="Arial" w:eastAsia="Times New Roman" w:cs="Arial"/>
              <w:sz w:val="18"/>
              <w:szCs w:val="18"/>
            </w:rPr>
          </w:pPr>
          <w:r w:rsidRPr="008B5BD4">
            <w:rPr>
              <w:rFonts w:ascii="Arial" w:hAnsi="Arial"/>
              <w:sz w:val="18"/>
              <w:szCs w:val="18"/>
            </w:rPr>
            <w:t>Responsabilidade. SUS. Débito. Solidariedade. Medicamento. Identificação. Nota fiscal. </w:t>
          </w:r>
        </w:p>
        <w:p w:rsidR="00ED3D8A" w:rsidP="00E30BCA" w:rsidRDefault="00ED3D8A">
          <w:pPr>
            <w:pStyle w:val="TCU-Epgrafe"/>
            <w:spacing w:before="0" w:after="200" w:line="276" w:lineRule="auto"/>
            <w:ind w:left="0"/>
            <w:jc w:val="both"/>
            <w:rPr>
              <w:sz w:val="22"/>
              <w:szCs w:val="22"/>
            </w:rPr>
          </w:pPr>
          <w:r w:rsidRPr="00ED3D8A">
            <w:rPr>
              <w:rFonts w:ascii="Arial" w:hAnsi="Arial"/>
              <w:sz w:val="18"/>
              <w:szCs w:val="18"/>
            </w:rPr>
            <w:t>Na aquisição de medicamentos, a existência de nota fiscal, ainda que atestada, desacompanhada de outras evidências de recebimento dos produtos, é insuficiente para comprovar a regular aplicação dos recursos públicos envolvidos, cabendo a responsabilização solidária da empresa fornecedora caso tenha emitido a nota fiscal sem a indicação dos lotes dos medicamentos (</w:t>
          </w:r>
          <w:hyperlink w:history="true" r:id="rId28">
            <w:r w:rsidRPr="00CF64C3">
              <w:rPr>
                <w:rStyle w:val="Hyperlink"/>
                <w:rFonts w:ascii="Arial" w:hAnsi="Arial"/>
                <w:color w:val="0563C1" w:themeColor="hyperlink"/>
                <w:sz w:val="18"/>
                <w:szCs w:val="18"/>
                <w:u w:val="none"/>
              </w:rPr>
              <w:t xml:space="preserve">Resolução Anvisa - RDC 430/2020</w:t>
            </w:r>
          </w:hyperlink>
          <w:r w:rsidRPr="00BE3506" w:rsidR="00BE3506">
            <w:rPr>
              <w:rFonts w:ascii="Arial" w:hAnsi="Arial"/>
              <w:sz w:val="18"/>
              <w:szCs w:val="18"/>
            </w:rPr>
            <w:t xml:space="preserve">). </w:t>
          </w:r>
        </w:p>
      </w:sdtContent>
    </w:sdt>
    <w:p>
      <w:pPr>
        <w:sectPr w:rsidRPr="00B84D1E" w:rsidR="00550586" w:rsidSect="00DF5C34">
          <w:type w:val="continuous"/>
          <w:pgSz w:w="11906" w:h="16838" w:code="9"/>
          <w:pgMar w:top="1440" w:right="851" w:bottom="1440" w:left="1134" w:header="709" w:footer="709" w:gutter="0"/>
          <w:cols w:space="708"/>
          <w:docGrid w:linePitch="360"/>
        </w:sectPr>
      </w:pPr>
    </w:p>
    <w:sdt>
      <w:sdtPr>
        <w:lock w:val="contentLocked"/>
        <w:placeholder>
          <w:docPart w:val="DefaultPlaceholder_1081868574"/>
        </w:placeholder>
        <w:group/>
        <w:id w:val="1007309909"/>
      </w:sdtPr>
      <w:sdtEndPr>
        <w:rPr>
          <w:rFonts w:ascii="Arial" w:hAnsi="Arial" w:eastAsia="Times New Roman" w:cs="Arial"/>
          <w:sz w:val="18"/>
          <w:szCs w:val="18"/>
        </w:rPr>
      </w:sdtEndPr>
      <w:sdtContent>
        <w:p w:rsidRPr="00013687" w:rsidR="00C85D14" w:rsidP="00013687" w:rsidRDefault="008C0B87">
          <w:pPr>
            <w:widowControl w:val="false"/>
            <w:autoSpaceDE w:val="false"/>
            <w:autoSpaceDN w:val="false"/>
            <w:spacing w:before="0" w:after="200" w:line="276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hyperlink w:history="true" r:id="rId29">
            <w:r w:rsidRPr="008B5BD4" w:rsidR="00F23E1A">
              <w:rPr>
                <w:rStyle w:val="Hyperlink"/>
                <w:rFonts w:ascii="Arial" w:hAnsi="Arial"/>
                <w:b/>
                <w:sz w:val="18"/>
                <w:szCs w:val="18"/>
              </w:rPr>
              <w:t>Acórdão 5141/2021 Segunda Câmara</w:t>
            </w:r>
          </w:hyperlink>
          <w:r w:rsidRPr="008B5BD4" w:rsidR="008C3AEB"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8B5BD4" w:rsidR="004E2384">
            <w:rPr>
              <w:rFonts w:ascii="Arial" w:hAnsi="Arial"/>
              <w:sz w:val="18"/>
              <w:szCs w:val="18"/>
            </w:rPr>
            <w:t xml:space="preserve">(Tomada de Contas Especial, Relator Ministro Bruno Dantas)</w:t>
          </w:r>
        </w:p>
        <w:p w:rsidRPr="00B84D1E" w:rsidR="00550586" w:rsidP="00B84D1E" w:rsidRDefault="00A012B7">
          <w:pPr>
            <w:spacing w:before="0" w:after="200" w:line="276" w:lineRule="auto"/>
            <w:jc w:val="both"/>
            <w:rPr>
              <w:rFonts w:ascii="Arial" w:hAnsi="Arial" w:eastAsia="Times New Roman" w:cs="Arial"/>
              <w:sz w:val="18"/>
              <w:szCs w:val="18"/>
            </w:rPr>
          </w:pPr>
          <w:r w:rsidRPr="008B5BD4">
            <w:rPr>
              <w:rFonts w:ascii="Arial" w:hAnsi="Arial"/>
              <w:sz w:val="18"/>
              <w:szCs w:val="18"/>
            </w:rPr>
            <w:t>Direito Processual. Revelia. Pessoa jurídica. Débito. Ente da Federação. Prazo. Recolhimento. </w:t>
          </w:r>
        </w:p>
        <w:p w:rsidR="00AF00E1" w:rsidP="00AF00E1" w:rsidRDefault="00AF00E1">
          <w:pPr>
            <w:pStyle w:val="TCU-Epgrafe"/>
            <w:spacing w:before="0" w:after="200" w:line="276" w:lineRule="auto"/>
            <w:ind w:left="0"/>
            <w:jc w:val="both"/>
            <w:rPr>
              <w:sz w:val="22"/>
              <w:szCs w:val="22"/>
            </w:rPr>
          </w:pPr>
          <w:r w:rsidRPr="00AF00E1">
            <w:rPr>
              <w:rFonts w:ascii="Arial" w:hAnsi="Arial"/>
              <w:sz w:val="18"/>
              <w:szCs w:val="18"/>
            </w:rPr>
            <w:t xml:space="preserve">Havendo débito imputável a ente federado, deve-se fixar novo e improrrogável prazo para o recolhimento da dívida, atualizada monetariamente, sem incidência de juros de mora (art. 12, §§ 1º e 2º, da </w:t>
            <w:fldChar w:fldCharType="begin"/>
            <w:instrText xml:space="preserve"> HYPERLINK "http://www.planalto.gov.br/ccivil_03/Leis/L8443.htm" </w:instrText>
            <w:fldChar w:fldCharType="separate"/>
          </w:r>
          <w:r w:rsidRPr="00961B14">
            <w:rPr>
              <w:rStyle w:val="Hyperlink"/>
              <w:rFonts w:ascii="Arial" w:hAnsi="Arial"/>
              <w:sz w:val="18"/>
              <w:szCs w:val="18"/>
              <w:u w:val="none"/>
            </w:rPr>
            <w:t>Lei 8.443/1992</w:t>
          </w:r>
          <w:r w:rsidRPr="00961B14" w:rsidR="00961B14">
            <w:rPr>
              <w:rFonts w:ascii="Arial" w:hAnsi="Arial"/>
              <w:sz w:val="18"/>
              <w:szCs w:val="18"/>
            </w:rPr>
            <w:fldChar w:fldCharType="end"/>
            <w:t xml:space="preserve">), mesmo na hipótese de revelia. </w:t>
          </w:r>
        </w:p>
      </w:sdtContent>
    </w:sdt>
    <w:p>
      <w:pPr>
        <w:sectPr w:rsidRPr="00B84D1E" w:rsidR="00550586" w:rsidSect="00DF5C34">
          <w:type w:val="continuous"/>
          <w:pgSz w:w="11906" w:h="16838" w:code="9"/>
          <w:pgMar w:top="1440" w:right="851" w:bottom="1440" w:left="1134" w:header="709" w:footer="709" w:gutter="0"/>
          <w:cols w:space="708"/>
          <w:docGrid w:linePitch="360"/>
        </w:sectPr>
      </w:pPr>
    </w:p>
    <w:p w:rsidR="001B7869" w:rsidP="00911751" w:rsidRDefault="00431E0B" w14:paraId="d5e87d0d" w14:textId="d5e87d0d">
      <w:pPr>
        <w15:collapsed w:val="false"/>
        <w:rPr>
          <w:rStyle w:val="Hyperlink"/>
          <w:color w:val="auto"/>
          <w:u w:val="none"/>
        </w:rPr>
      </w:pPr>
      <w:r>
        <w:rPr>
          <w:rFonts w:ascii="Arial" w:hAnsi="Arial" w:cs="Arial"/>
          <w:noProof/>
          <w:sz w:val="18"/>
          <w:szCs w:val="18"/>
          <w:u w:val="single"/>
          <w:lang w:eastAsia="pt-BR"/>
        </w:rPr>
        <w:pict>
          <v:line from="443.55pt,.25pt" to="938.3pt,1.05pt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id="Conector reto 1" o:spid="_x0000_s1026" strokecolor="#1f497d [3215]" strokeweight="2pt">
            <v:shadow on="t" color="black" opacity="24903f" offset="0,.55556mm" origin=",.5"/>
            <w10:wrap anchorx="margin"/>
          </v:line>
        </w:pict>
      </w:r>
    </w:p>
    <w:p w:rsidRPr="00D67A96" w:rsidR="00911751" w:rsidP="00911751" w:rsidRDefault="00911751">
      <w:pPr>
        <w:spacing w:before="60" w:after="60" w:line="276" w:lineRule="auto"/>
        <w:jc w:val="center"/>
        <w:rPr>
          <w:rStyle w:val="Hyperlink"/>
          <w:rFonts w:ascii="Arial" w:hAnsi="Arial" w:cs="Arial"/>
          <w:b/>
          <w:color w:val="auto"/>
          <w:sz w:val="18"/>
          <w:szCs w:val="18"/>
        </w:rPr>
      </w:pPr>
      <w:r w:rsidRPr="00D67A96">
        <w:rPr>
          <w:rStyle w:val="Hyperlink"/>
          <w:rFonts w:ascii="Arial" w:hAnsi="Arial" w:cs="Arial"/>
          <w:b/>
          <w:color w:val="auto"/>
          <w:sz w:val="18"/>
          <w:szCs w:val="18"/>
        </w:rPr>
        <w:t>Elaboração: Diretoria de Jurisprudência – Secretaria das Sessões</w:t>
      </w:r>
    </w:p>
    <w:p w:rsidR="00911751" w:rsidP="00911751" w:rsidRDefault="00911751">
      <w:pPr>
        <w:spacing w:before="60" w:after="60" w:line="276" w:lineRule="auto"/>
        <w:jc w:val="center"/>
        <w:rPr>
          <w:rStyle w:val="Hyperlink"/>
          <w:rFonts w:ascii="Arial" w:hAnsi="Arial" w:cs="Arial"/>
          <w:i/>
          <w:sz w:val="18"/>
          <w:szCs w:val="18"/>
        </w:rPr>
      </w:pPr>
      <w:r w:rsidRPr="00911751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Contato:</w:t>
      </w:r>
      <w:r w:rsidRPr="00911751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hyperlink w:history="true" r:id="rId30">
        <w:r w:rsidR="00DC7050">
          <w:rPr>
            <w:rStyle w:val="Hyperlink"/>
            <w:rFonts w:ascii="Arial" w:hAnsi="Arial" w:cs="Arial"/>
            <w:i/>
            <w:sz w:val="18"/>
            <w:szCs w:val="18"/>
          </w:rPr>
          <w:t>jurisprudenciafaleconosco@tcu.gov.br</w:t>
        </w:r>
      </w:hyperlink>
    </w:p>
    <w:p w:rsidR="00431E0B" w:rsidP="00911751" w:rsidRDefault="00431E0B">
      <w:pPr>
        <w:spacing w:before="60" w:after="60" w:line="276" w:lineRule="auto"/>
        <w:jc w:val="center"/>
        <w:rPr>
          <w:rStyle w:val="Hyperlink"/>
          <w:rFonts w:ascii="Arial" w:hAnsi="Arial" w:cs="Arial"/>
          <w:i/>
          <w:sz w:val="18"/>
          <w:szCs w:val="18"/>
        </w:rPr>
      </w:pPr>
    </w:p>
    <w:p w:rsidRPr="00AA2F98" w:rsidR="00D67A96" w:rsidP="00AA2F98" w:rsidRDefault="009B0E9E">
      <w:pPr>
        <w:jc w:val="center"/>
        <w:rPr>
          <w:rStyle w:val="Hyperlink"/>
          <w:color w:val="auto"/>
          <w:sz w:val="22"/>
          <w:u w:val="none"/>
        </w:rPr>
      </w:pPr>
      <w:r>
        <w:rPr>
          <w:rFonts w:ascii="Arial" w:hAnsi="Arial" w:cs="Arial"/>
          <w:noProof/>
          <w:sz w:val="18"/>
          <w:szCs w:val="18"/>
          <w:u w:val="single"/>
        </w:rPr>
        <w:drawing>
          <wp:inline distT="0" distB="0" distL="0" distR="0">
            <wp:extent cx="3629025" cy="1152525"/>
            <wp:effectExtent l="0" t="0" r="9525" b="9525"/>
            <wp:docPr id="4" name="Imagem 4" descr="Uma imagem contendo Diagrama&#10;&#10;Descrição gerada automaticamente">
              <a:hlinkClick r:id="rId31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" name="Imagem 4" descr="Uma imagem contendo Diagrama&#10;&#10;Descrição gerada automaticamente">
                      <a:hlinkClick r:id="rId31"/>
                    </pic:cNvPr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AA2F98" w:rsidR="00D67A96" w:rsidSect="00EE3E91">
      <w:footerReference w:type="default" r:id="rId32"/>
      <w:type w:val="continuous"/>
      <w:pgSz w:w="11906" w:h="16838" w:code="9"/>
      <w:pgMar w:top="1440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0">
    <w:p w:rsidR="003E3518" w:rsidP="00ED5179" w:rsidRDefault="003E3518">
      <w:r>
        <w:separator/>
      </w:r>
    </w:p>
  </w:endnote>
  <w:endnote w:type="continuationSeparator" w:id="1">
    <w:p w:rsidR="003E3518" w:rsidP="00ED5179" w:rsidRDefault="003E351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C04BE2" w:rsidRDefault="00C04BE2" w14:paraId="7FA67986" w14:textId="77777777">
    <w:pPr>
      <w:pStyle w:val="Rodap"/>
      <w:jc w:val="right"/>
    </w:pPr>
    <w:r>
      <w:fldChar w:fldCharType="begin"/>
      <w:instrText xml:space="preserve"> PAGE   \* MERGEFORMAT </w:instrText>
      <w:fldChar w:fldCharType="separate"/>
    </w:r>
    <w:r w:rsidR="00BE2357">
      <w:rPr>
        <w:noProof/>
      </w:rPr>
      <w:t>1</w:t>
    </w:r>
    <w:r>
      <w:fldChar w:fldCharType="end"/>
    </w:r>
  </w:p>
  <w:p w:rsidR="009C1CD2" w:rsidP="00D702D9" w:rsidRDefault="009C1CD2" w14:paraId="30910A1C" w14:textId="77777777">
    <w:pPr>
      <w:pStyle w:val="Rodap"/>
    </w:pPr>
  </w:p>
</w:ftr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C04BE2" w:rsidRDefault="00C04BE2">
    <w:pPr>
      <w:pStyle w:val="Rodap"/>
      <w:jc w:val="right"/>
    </w:pPr>
    <w:r>
      <w:fldChar w:fldCharType="begin"/>
      <w:instrText xml:space="preserve"> PAGE   \* MERGEFORMAT </w:instrText>
      <w:fldChar w:fldCharType="separate"/>
    </w:r>
    <w:r w:rsidR="002A6D9A">
      <w:rPr>
        <w:noProof/>
      </w:rPr>
      <w:t>1</w:t>
    </w:r>
    <w:r>
      <w:fldChar w:fldCharType="end"/>
    </w:r>
  </w:p>
  <w:p w:rsidR="009C1CD2" w:rsidP="00D702D9" w:rsidRDefault="009C1CD2">
    <w:pPr>
      <w:pStyle w:val="Rodap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0">
    <w:p w:rsidR="003E3518" w:rsidP="00ED5179" w:rsidRDefault="003E3518">
      <w:r>
        <w:separator/>
      </w:r>
    </w:p>
  </w:footnote>
  <w:footnote w:type="continuationSeparator" w:id="1">
    <w:p w:rsidR="003E3518" w:rsidP="00ED5179" w:rsidRDefault="003E351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Pr="0035499A" w:rsidR="00842D06" w:rsidP="002A6D9A" w:rsidRDefault="002A6D9A">
    <w:pPr>
      <w:pStyle w:val="Cabealho"/>
      <w:spacing w:line="120" w:lineRule="auto"/>
      <w:contextualSpacing/>
    </w:pPr>
    <w:r w:rsidRPr="006B1380">
      <w:rPr>
        <w:noProof/>
        <w:sz w:val="10"/>
        <w:lang w:eastAsia="pt-BR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76185" cy="1263650"/>
          <wp:effectExtent l="0" t="0" r="5715" b="0"/>
          <wp:wrapSquare wrapText="bothSides"/>
          <wp:docPr id="2" name="Imagem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Cabeçalhos_Cabeçalho 1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ns1="http://schemas.openxmlformats.org/wordprocessingml/2006/main" xmlns:ns10="http://schemas.microsoft.com/office/word/2006/wordml" xmlns:ns11="http://schemas.openxmlformats.org/drawingml/2006/chart" xmlns:ns13="http://schemas.openxmlformats.org/drawingml/2006/diagram" xmlns:ns14="http://schemas.openxmlformats.org/drawingml/2006/picture" xmlns:ns15="http://schemas.openxmlformats.org/drawingml/2006/spreadsheetDrawing" xmlns:ns16="http://schemas.microsoft.com/office/drawing/2008/diagram" xmlns:ns18="urn:schemas-microsoft-com:office:office" xmlns:ns19="urn:schemas-microsoft-com:vml" xmlns:ns2="http://schemas.openxmlformats.org/officeDocument/2006/math" xmlns:ns20="urn:schemas-microsoft-com:office:word" xmlns:ns24="http://opendope.org/xpaths" xmlns:ns25="http://opendope.org/conditions" xmlns:ns26="http://opendope.org/questions" xmlns:ns27="http://opendope.org/answers" xmlns:ns28="http://opendope.org/components" xmlns:ns29="http://opendope.org/SmartArt/DataHierarchy" xmlns:ns3="http://schemas.openxmlformats.org/officeDocument/2006/relationships" xmlns:ns4="http://schemas.microsoft.com/office/word/2010/wordml" xmlns:ns5="http://schemas.openxmlformats.org/drawingml/2006/wordprocessingDrawing" xmlns:ns6="http://schemas.openxmlformats.org/drawingml/2006/main" xmlns:ns7="http://schemas.microsoft.com/office/word/2012/wordml" xmlns:ns9="http://schemas.openxmlformats.org/markup-compatibility/2006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79"/>
    <w:rsid w:val="000362D8"/>
    <w:rsid w:val="00075906"/>
    <w:rsid w:val="00082F24"/>
    <w:rsid w:val="00097DCA"/>
    <w:rsid w:val="000A3341"/>
    <w:rsid w:val="000C239C"/>
    <w:rsid w:val="000F2444"/>
    <w:rsid w:val="0013773E"/>
    <w:rsid w:val="001424BE"/>
    <w:rsid w:val="00167319"/>
    <w:rsid w:val="00177D47"/>
    <w:rsid w:val="00185A6B"/>
    <w:rsid w:val="001A0F92"/>
    <w:rsid w:val="001B0C60"/>
    <w:rsid w:val="001B11D3"/>
    <w:rsid w:val="001B2D44"/>
    <w:rsid w:val="001B3DAA"/>
    <w:rsid w:val="001B4F0D"/>
    <w:rsid w:val="001D00C5"/>
    <w:rsid w:val="001D00FE"/>
    <w:rsid w:val="001F4538"/>
    <w:rsid w:val="001F5301"/>
    <w:rsid w:val="0020622A"/>
    <w:rsid w:val="00234034"/>
    <w:rsid w:val="002466B7"/>
    <w:rsid w:val="00256B0C"/>
    <w:rsid w:val="00267C16"/>
    <w:rsid w:val="00283531"/>
    <w:rsid w:val="00295550"/>
    <w:rsid w:val="002961A3"/>
    <w:rsid w:val="002A0EAF"/>
    <w:rsid w:val="002A6D9A"/>
    <w:rsid w:val="002C67CE"/>
    <w:rsid w:val="002E380E"/>
    <w:rsid w:val="00306884"/>
    <w:rsid w:val="00321872"/>
    <w:rsid w:val="00327A3D"/>
    <w:rsid w:val="0033521E"/>
    <w:rsid w:val="00344778"/>
    <w:rsid w:val="00344ECE"/>
    <w:rsid w:val="0034709A"/>
    <w:rsid w:val="0035499A"/>
    <w:rsid w:val="003C5E3B"/>
    <w:rsid w:val="003E1270"/>
    <w:rsid w:val="003E3518"/>
    <w:rsid w:val="003E35D7"/>
    <w:rsid w:val="003F5A2A"/>
    <w:rsid w:val="003F6210"/>
    <w:rsid w:val="004238A5"/>
    <w:rsid w:val="004318F3"/>
    <w:rsid w:val="0043308E"/>
    <w:rsid w:val="0048449D"/>
    <w:rsid w:val="004A2DDF"/>
    <w:rsid w:val="004C3808"/>
    <w:rsid w:val="004E3530"/>
    <w:rsid w:val="004E7A58"/>
    <w:rsid w:val="004F053A"/>
    <w:rsid w:val="004F6460"/>
    <w:rsid w:val="00513988"/>
    <w:rsid w:val="00525994"/>
    <w:rsid w:val="005264AF"/>
    <w:rsid w:val="00532988"/>
    <w:rsid w:val="00534AFA"/>
    <w:rsid w:val="00557A83"/>
    <w:rsid w:val="00572E3F"/>
    <w:rsid w:val="005A2E89"/>
    <w:rsid w:val="005E7AEC"/>
    <w:rsid w:val="006006C2"/>
    <w:rsid w:val="00632AA6"/>
    <w:rsid w:val="006779C0"/>
    <w:rsid w:val="006807C6"/>
    <w:rsid w:val="00686128"/>
    <w:rsid w:val="00703C89"/>
    <w:rsid w:val="007404E0"/>
    <w:rsid w:val="00756470"/>
    <w:rsid w:val="00785051"/>
    <w:rsid w:val="00791535"/>
    <w:rsid w:val="007A69B1"/>
    <w:rsid w:val="007A6ECE"/>
    <w:rsid w:val="007A7BCB"/>
    <w:rsid w:val="007E1928"/>
    <w:rsid w:val="007E4330"/>
    <w:rsid w:val="008048F0"/>
    <w:rsid w:val="00817F51"/>
    <w:rsid w:val="00842D06"/>
    <w:rsid w:val="008659BF"/>
    <w:rsid w:val="008713D8"/>
    <w:rsid w:val="00874F87"/>
    <w:rsid w:val="00881A7C"/>
    <w:rsid w:val="00890FE6"/>
    <w:rsid w:val="008C06E3"/>
    <w:rsid w:val="008C7BE6"/>
    <w:rsid w:val="008D43AA"/>
    <w:rsid w:val="008E095E"/>
    <w:rsid w:val="008F0439"/>
    <w:rsid w:val="009066CA"/>
    <w:rsid w:val="00924297"/>
    <w:rsid w:val="00935B2B"/>
    <w:rsid w:val="00937213"/>
    <w:rsid w:val="0095776C"/>
    <w:rsid w:val="009745FD"/>
    <w:rsid w:val="00976430"/>
    <w:rsid w:val="00991087"/>
    <w:rsid w:val="009B0538"/>
    <w:rsid w:val="009B55C8"/>
    <w:rsid w:val="009C1CD2"/>
    <w:rsid w:val="009D4C43"/>
    <w:rsid w:val="009E41D1"/>
    <w:rsid w:val="00A11C54"/>
    <w:rsid w:val="00A17B90"/>
    <w:rsid w:val="00A205EC"/>
    <w:rsid w:val="00A20C48"/>
    <w:rsid w:val="00A22D1E"/>
    <w:rsid w:val="00A34AEE"/>
    <w:rsid w:val="00A40551"/>
    <w:rsid w:val="00A81547"/>
    <w:rsid w:val="00A9242D"/>
    <w:rsid w:val="00AA4BD9"/>
    <w:rsid w:val="00AA6A32"/>
    <w:rsid w:val="00AB7BF8"/>
    <w:rsid w:val="00AC33D0"/>
    <w:rsid w:val="00AD3C90"/>
    <w:rsid w:val="00AF1E2C"/>
    <w:rsid w:val="00AF2204"/>
    <w:rsid w:val="00B17FDA"/>
    <w:rsid w:val="00B25BAE"/>
    <w:rsid w:val="00B34BC6"/>
    <w:rsid w:val="00B41043"/>
    <w:rsid w:val="00B526D3"/>
    <w:rsid w:val="00B57E17"/>
    <w:rsid w:val="00BC4BF5"/>
    <w:rsid w:val="00BD1D53"/>
    <w:rsid w:val="00BD55F7"/>
    <w:rsid w:val="00BE719D"/>
    <w:rsid w:val="00BF2730"/>
    <w:rsid w:val="00BF581A"/>
    <w:rsid w:val="00C013E3"/>
    <w:rsid w:val="00C04BE2"/>
    <w:rsid w:val="00C14F8E"/>
    <w:rsid w:val="00C16F38"/>
    <w:rsid w:val="00C20BE3"/>
    <w:rsid w:val="00C23E2C"/>
    <w:rsid w:val="00C2578B"/>
    <w:rsid w:val="00C35594"/>
    <w:rsid w:val="00C43825"/>
    <w:rsid w:val="00C50BA9"/>
    <w:rsid w:val="00C714EE"/>
    <w:rsid w:val="00C72771"/>
    <w:rsid w:val="00C85CAC"/>
    <w:rsid w:val="00C92822"/>
    <w:rsid w:val="00C96FBD"/>
    <w:rsid w:val="00CC607F"/>
    <w:rsid w:val="00CD3717"/>
    <w:rsid w:val="00CD5906"/>
    <w:rsid w:val="00CE382D"/>
    <w:rsid w:val="00D048E4"/>
    <w:rsid w:val="00D05033"/>
    <w:rsid w:val="00D1244C"/>
    <w:rsid w:val="00D30112"/>
    <w:rsid w:val="00D31C0A"/>
    <w:rsid w:val="00D33399"/>
    <w:rsid w:val="00D501DA"/>
    <w:rsid w:val="00D702D9"/>
    <w:rsid w:val="00D75CE4"/>
    <w:rsid w:val="00DB4F3B"/>
    <w:rsid w:val="00DC4B60"/>
    <w:rsid w:val="00DD065C"/>
    <w:rsid w:val="00DD5873"/>
    <w:rsid w:val="00DD6C20"/>
    <w:rsid w:val="00DF244B"/>
    <w:rsid w:val="00DF69E6"/>
    <w:rsid w:val="00E027B1"/>
    <w:rsid w:val="00E1223B"/>
    <w:rsid w:val="00E145EE"/>
    <w:rsid w:val="00E429D8"/>
    <w:rsid w:val="00E46CEB"/>
    <w:rsid w:val="00E55A1D"/>
    <w:rsid w:val="00E65DBA"/>
    <w:rsid w:val="00E73B12"/>
    <w:rsid w:val="00E90600"/>
    <w:rsid w:val="00E93506"/>
    <w:rsid w:val="00EA61D7"/>
    <w:rsid w:val="00EB0307"/>
    <w:rsid w:val="00EC77DE"/>
    <w:rsid w:val="00ED5179"/>
    <w:rsid w:val="00F0239A"/>
    <w:rsid w:val="00F05C62"/>
    <w:rsid w:val="00F26DD0"/>
    <w:rsid w:val="00F3445D"/>
    <w:rsid w:val="00F34AD7"/>
    <w:rsid w:val="00F819A7"/>
    <w:rsid w:val="00FB590D"/>
    <w:rsid w:val="00FD054D"/>
    <w:rsid w:val="00FF383F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5:docId w15:val="{B5A8F1C4-9893-4D07-8C1D-E8B5ABEF49DE}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eastAsia="Times New Roman" w:asciiTheme="minorHAnsi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caption" w:uiPriority="35" w:semiHidden="true" w:unhideWhenUsed="true" w:qFormat="true"/>
    <w:lsdException w:name="List Number" w:semiHidden="true" w:unhideWhenUsed="true"/>
    <w:lsdException w:name="List 4" w:semiHidden="true" w:unhideWhenUsed="true"/>
    <w:lsdException w:name="List 5" w:semiHidden="true" w:unhideWhenUsed="true"/>
    <w:lsdException w:name="Title" w:uiPriority="10" w:qFormat="true"/>
    <w:lsdException w:name="Default Paragraph Font" w:uiPriority="1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Strong" w:uiPriority="22" w:qFormat="true"/>
    <w:lsdException w:name="Emphasis" w:uiPriority="20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13773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F2730"/>
    <w:pPr>
      <w:keepNext/>
      <w:keepLines/>
      <w:outlineLvl w:val="0"/>
    </w:pPr>
    <w:rPr>
      <w:rFonts w:eastAsiaTheme="majorEastAsia"/>
      <w:b/>
      <w:bCs/>
      <w:color w:val="365F91" w:themeColor="accent1" w:themeShade="BF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499A"/>
    <w:pPr>
      <w:keepNext/>
      <w:keepLines/>
      <w:spacing w:before="40"/>
      <w:outlineLvl w:val="7"/>
    </w:pPr>
    <w:rPr>
      <w:rFonts w:asciiTheme="majorHAnsi" w:hAnsiTheme="majorHAnsi" w:eastAsiaTheme="majorEastAsia"/>
      <w:color w:val="272727" w:themeColor="text1" w:themeTint="D8"/>
      <w:sz w:val="21"/>
      <w:szCs w:val="21"/>
    </w:rPr>
  </w:style>
  <w:style w:type="character" w:styleId="Fontepargpadro" w:default="true">
    <w:name w:val="Default Paragraph Font"/>
    <w:uiPriority w:val="1"/>
    <w:semiHidden/>
    <w:unhideWhenUsed/>
  </w:style>
  <w:style w:type="table" w:styleId="Tabela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true">
    <w:name w:val="No List"/>
    <w:uiPriority w:val="99"/>
    <w:semiHidden/>
    <w:unhideWhenUsed/>
  </w:style>
  <w:style w:type="character" w:styleId="Ttulo1Char" w:customStyle="true">
    <w:name w:val="Título 1 Char"/>
    <w:basedOn w:val="Fontepargpadro"/>
    <w:link w:val="Ttulo1"/>
    <w:uiPriority w:val="9"/>
    <w:locked/>
    <w:rsid w:val="00BF2730"/>
    <w:rPr>
      <w:rFonts w:ascii="Times New Roman" w:hAnsi="Times New Roman" w:cs="Times New Roman" w:eastAsiaTheme="majorEastAsia"/>
      <w:b/>
      <w:bCs/>
      <w:color w:val="365F91" w:themeColor="accent1" w:themeShade="BF"/>
      <w:sz w:val="28"/>
      <w:szCs w:val="28"/>
    </w:rPr>
  </w:style>
  <w:style w:type="character" w:styleId="Ttulo8Char" w:customStyle="true">
    <w:name w:val="Título 8 Char"/>
    <w:basedOn w:val="Fontepargpadro"/>
    <w:link w:val="Ttulo8"/>
    <w:uiPriority w:val="9"/>
    <w:semiHidden/>
    <w:locked/>
    <w:rsid w:val="0035499A"/>
    <w:rPr>
      <w:rFonts w:cs="Times New Roman" w:asciiTheme="majorHAnsi" w:hAnsiTheme="majorHAnsi" w:eastAsiaTheme="majorEastAsia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ED5179"/>
    <w:pPr>
      <w:tabs>
        <w:tab w:val="center" w:pos="4252"/>
        <w:tab w:val="right" w:pos="8504"/>
      </w:tabs>
    </w:pPr>
  </w:style>
  <w:style w:type="character" w:styleId="CabealhoChar" w:customStyle="true">
    <w:name w:val="Cabeçalho Char"/>
    <w:basedOn w:val="Fontepargpadro"/>
    <w:link w:val="Cabealho"/>
    <w:uiPriority w:val="99"/>
    <w:locked/>
    <w:rsid w:val="00ED517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D5179"/>
    <w:pPr>
      <w:tabs>
        <w:tab w:val="center" w:pos="4252"/>
        <w:tab w:val="right" w:pos="8504"/>
      </w:tabs>
    </w:pPr>
  </w:style>
  <w:style w:type="character" w:styleId="RodapChar" w:customStyle="true">
    <w:name w:val="Rodapé Char"/>
    <w:basedOn w:val="Fontepargpadro"/>
    <w:link w:val="Rodap"/>
    <w:uiPriority w:val="99"/>
    <w:locked/>
    <w:rsid w:val="00ED517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179"/>
    <w:rPr>
      <w:rFonts w:ascii="Tahoma" w:hAnsi="Tahoma" w:cs="Tahoma"/>
      <w:sz w:val="16"/>
      <w:szCs w:val="16"/>
    </w:rPr>
  </w:style>
  <w:style w:type="character" w:styleId="TextodebaloChar" w:customStyle="true">
    <w:name w:val="Texto de balão Char"/>
    <w:basedOn w:val="Fontepargpadro"/>
    <w:link w:val="Textodebalo"/>
    <w:uiPriority w:val="99"/>
    <w:semiHidden/>
    <w:locked/>
    <w:rsid w:val="00ED5179"/>
    <w:rPr>
      <w:rFonts w:ascii="Tahoma" w:hAnsi="Tahoma" w:cs="Tahoma"/>
      <w:sz w:val="16"/>
      <w:szCs w:val="16"/>
    </w:rPr>
  </w:style>
  <w:style w:type="paragraph" w:styleId="TCU-Epgrafe" w:customStyle="true">
    <w:name w:val="TCU - Epígrafe"/>
    <w:basedOn w:val="Normal"/>
    <w:rsid w:val="00BF2730"/>
    <w:pPr>
      <w:ind w:left="2835"/>
      <w:jc w:val="both"/>
    </w:pPr>
    <w:rPr>
      <w:szCs w:val="20"/>
      <w:lang w:eastAsia="pt-BR"/>
    </w:rPr>
  </w:style>
  <w:style w:type="paragraph" w:styleId="SemEspaamento">
    <w:name w:val="No Spacing"/>
    <w:uiPriority w:val="1"/>
    <w:qFormat/>
    <w:rsid w:val="00BF273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BF2730"/>
    <w:pPr>
      <w:pBdr>
        <w:bottom w:val="single" w:color="4F81BD" w:themeColor="accent1" w:sz="8" w:space="4"/>
      </w:pBdr>
      <w:contextualSpacing/>
    </w:pPr>
    <w:rPr>
      <w:rFonts w:eastAsiaTheme="majorEastAsia"/>
      <w:color w:val="17365D" w:themeColor="text2" w:themeShade="BF"/>
      <w:spacing w:val="5"/>
      <w:kern w:val="28"/>
      <w:szCs w:val="52"/>
    </w:rPr>
  </w:style>
  <w:style w:type="character" w:styleId="TtuloChar" w:customStyle="true">
    <w:name w:val="Título Char"/>
    <w:basedOn w:val="Fontepargpadro"/>
    <w:link w:val="Ttulo"/>
    <w:uiPriority w:val="10"/>
    <w:locked/>
    <w:rsid w:val="00BF2730"/>
    <w:rPr>
      <w:rFonts w:ascii="Times New Roman" w:hAnsi="Times New Roman" w:cs="Times New Roman" w:eastAsiaTheme="majorEastAsia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2730"/>
    <w:pPr>
      <w:numPr>
        <w:ilvl w:val="1"/>
      </w:numPr>
    </w:pPr>
    <w:rPr>
      <w:rFonts w:eastAsiaTheme="majorEastAsia"/>
      <w:i/>
      <w:iCs/>
      <w:color w:val="4F81BD" w:themeColor="accent1"/>
      <w:spacing w:val="15"/>
      <w:szCs w:val="24"/>
    </w:rPr>
  </w:style>
  <w:style w:type="character" w:styleId="SubttuloChar" w:customStyle="true">
    <w:name w:val="Subtítulo Char"/>
    <w:basedOn w:val="Fontepargpadro"/>
    <w:link w:val="Subttulo"/>
    <w:uiPriority w:val="11"/>
    <w:locked/>
    <w:rsid w:val="00BF2730"/>
    <w:rPr>
      <w:rFonts w:ascii="Times New Roman" w:hAnsi="Times New Roman" w:cs="Times New Roman" w:eastAsiaTheme="majorEastAsia"/>
      <w:i/>
      <w:iCs/>
      <w:color w:val="4F81BD" w:themeColor="accent1"/>
      <w:spacing w:val="15"/>
      <w:sz w:val="24"/>
      <w:szCs w:val="24"/>
    </w:rPr>
  </w:style>
  <w:style w:type="paragraph" w:styleId="TCU-Centralizado" w:customStyle="true">
    <w:name w:val="TCU - Centralizado"/>
    <w:basedOn w:val="Normal"/>
    <w:qFormat/>
    <w:rsid w:val="009E41D1"/>
    <w:pPr>
      <w:jc w:val="center"/>
    </w:pPr>
    <w:rPr>
      <w:szCs w:val="24"/>
    </w:rPr>
  </w:style>
  <w:style w:type="paragraph" w:styleId="TCU-RelVoto-1" w:customStyle="true">
    <w:name w:val="TCU - Rel/Voto - 1º §"/>
    <w:basedOn w:val="Normal"/>
    <w:qFormat/>
    <w:rsid w:val="009E41D1"/>
    <w:pPr>
      <w:spacing w:after="160"/>
      <w:ind w:firstLine="1134"/>
      <w:jc w:val="both"/>
    </w:pPr>
  </w:style>
  <w:style w:type="paragraph" w:styleId="TCU-Ac-item9-" w:customStyle="true">
    <w:name w:val="TCU - Ac - item 9 - §§"/>
    <w:basedOn w:val="TCU-RelVoto-1"/>
    <w:qFormat/>
    <w:rsid w:val="009E41D1"/>
    <w:pPr>
      <w:spacing w:after="0"/>
    </w:pPr>
  </w:style>
  <w:style w:type="paragraph" w:styleId="TCU-RelVoto-demais" w:customStyle="true">
    <w:name w:val="TCU - Rel/Voto - demais §§"/>
    <w:basedOn w:val="Normal"/>
    <w:qFormat/>
    <w:rsid w:val="009E41D1"/>
    <w:pPr>
      <w:tabs>
        <w:tab w:val="left" w:pos="1134"/>
      </w:tabs>
      <w:spacing w:after="160"/>
      <w:jc w:val="both"/>
    </w:pPr>
  </w:style>
  <w:style w:type="paragraph" w:styleId="TCU-Ac-itens1a8" w:customStyle="true">
    <w:name w:val="TCU -   Ac - itens 1 a 8"/>
    <w:basedOn w:val="TCU-RelVoto-demais"/>
    <w:qFormat/>
    <w:rsid w:val="009E41D1"/>
    <w:pPr>
      <w:spacing w:after="0"/>
    </w:pPr>
  </w:style>
  <w:style w:type="paragraph" w:styleId="TCU-Sumrio" w:customStyle="true">
    <w:name w:val="TCU - Sumário"/>
    <w:basedOn w:val="Normal"/>
    <w:qFormat/>
    <w:rsid w:val="009E41D1"/>
    <w:pPr>
      <w:ind w:left="5103"/>
      <w:jc w:val="both"/>
    </w:pPr>
    <w:rPr>
      <w:b/>
    </w:rPr>
  </w:style>
  <w:style w:type="paragraph" w:styleId="TCU-Transcrio" w:customStyle="true">
    <w:name w:val="TCU - Transcrição"/>
    <w:basedOn w:val="Normal"/>
    <w:qFormat/>
    <w:rsid w:val="009E41D1"/>
    <w:pPr>
      <w:spacing w:after="120"/>
      <w:ind w:left="284" w:firstLine="567"/>
      <w:jc w:val="both"/>
    </w:pPr>
    <w:rPr>
      <w:i/>
    </w:rPr>
  </w:style>
  <w:style w:type="paragraph" w:styleId="TCU-Ac-item9-1Linha" w:customStyle="true">
    <w:name w:val="TCU -  Ac - item 9 - 1ª Linha"/>
    <w:basedOn w:val="TCU-RelVoto-demais"/>
    <w:qFormat/>
    <w:rsid w:val="0013773E"/>
  </w:style>
  <w:style w:type="paragraph" w:styleId="Default" w:customStyle="true">
    <w:name w:val="Default"/>
    <w:rsid w:val="004A2DDF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4A2DDF"/>
    <w:pPr>
      <w:tabs>
        <w:tab w:val="left" w:pos="1134"/>
      </w:tabs>
      <w:spacing w:before="120"/>
      <w:ind w:left="1134"/>
      <w:jc w:val="both"/>
    </w:pPr>
    <w:rPr>
      <w:iCs/>
      <w:color w:val="000000"/>
      <w:sz w:val="22"/>
      <w:szCs w:val="20"/>
      <w:lang w:eastAsia="pt-BR"/>
    </w:rPr>
  </w:style>
  <w:style w:type="character" w:styleId="CitaoChar" w:customStyle="true">
    <w:name w:val="Citação Char"/>
    <w:basedOn w:val="Fontepargpadro"/>
    <w:link w:val="Citao"/>
    <w:uiPriority w:val="29"/>
    <w:locked/>
    <w:rsid w:val="004A2DDF"/>
    <w:rPr>
      <w:rFonts w:ascii="Times New Roman" w:hAnsi="Times New Roman" w:cs="Times New Roman"/>
      <w:iCs/>
      <w:color w:val="000000"/>
      <w:sz w:val="20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E73B12"/>
    <w:rPr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5499A"/>
    <w:rPr>
      <w:rFonts w:cs="Times New Roman"/>
      <w:color w:val="0000FF"/>
      <w:u w:val="single"/>
    </w:rPr>
  </w:style>
  <w:style w:type="paragraph" w:styleId="enter-3pt" w:customStyle="true">
    <w:name w:val="enter-3pt"/>
    <w:basedOn w:val="Normal"/>
    <w:rsid w:val="0048449D"/>
    <w:pPr>
      <w:autoSpaceDE w:val="false"/>
      <w:autoSpaceDN w:val="false"/>
      <w:adjustRightInd w:val="false"/>
      <w:spacing w:line="60" w:lineRule="atLeast"/>
      <w:jc w:val="both"/>
    </w:pPr>
    <w:rPr>
      <w:sz w:val="8"/>
      <w:szCs w:val="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8B5BD4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03BDE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41401653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1"/><Relationship Target="footnotes.xml" Type="http://schemas.openxmlformats.org/officeDocument/2006/relationships/footnotes" Id="rId2"/><Relationship Target="endnotes.xml" Type="http://schemas.openxmlformats.org/officeDocument/2006/relationships/endnotes" Id="rId3"/><Relationship Target="webSettings.xml" Type="http://schemas.openxmlformats.org/officeDocument/2006/relationships/webSettings" Id="rId4"/><Relationship Target="theme/theme1.xml" Type="http://schemas.openxmlformats.org/officeDocument/2006/relationships/theme" Id="rId5"/><Relationship Target="fontTable.xml" Type="http://schemas.openxmlformats.org/officeDocument/2006/relationships/fontTable" Id="rId6"/><Relationship Target="styles.xml" Type="http://schemas.openxmlformats.org/officeDocument/2006/relationships/styles" Id="rId7"/><Relationship Target="header1.xml" Type="http://schemas.openxmlformats.org/officeDocument/2006/relationships/header" Id="rId8"/><Relationship Target="footer1.xml" Type="http://schemas.openxmlformats.org/officeDocument/2006/relationships/footer" Id="rId9"/><Relationship Target="../customXml/item1.xml" Type="http://schemas.openxmlformats.org/officeDocument/2006/relationships/customXml" Id="rId10"/><Relationship Target="glossary/document.xml" Type="http://schemas.openxmlformats.org/officeDocument/2006/relationships/glossaryDocument" Id="rId11"/><Relationship TargetMode="External" Target="https://contas.tcu.gov.br/pesquisaJurisprudencia/#/detalhamento/11/%252a/NUMACORDAO%253A698%2520ANOACORDAO%253A2021%2520COLEGIADO%253A%2522Plen%25C3%25A1rio%2522/DTRELEVANCIA%2520desc/false/1" Type="http://schemas.openxmlformats.org/officeDocument/2006/relationships/hyperlink" Id="rId12"/><Relationship TargetMode="External" Target="http://www.planalto.gov.br/ccivil_03/leis/l8666cons.htm" Type="http://schemas.openxmlformats.org/officeDocument/2006/relationships/hyperlink" Id="rId13"/><Relationship TargetMode="External" Target="https://contas.tcu.gov.br/pesquisaJurisprudencia/#/detalhamento/11/%252a/NUMACORDAO%253A701%2520ANOACORDAO%253A2021%2520COLEGIADO%253A%2522Plen%25C3%25A1rio%2522/DTRELEVANCIA%2520desc/false/1" Type="http://schemas.openxmlformats.org/officeDocument/2006/relationships/hyperlink" Id="rId14"/><Relationship TargetMode="External" Target="http://www.planalto.gov.br/ccivil_03/_Ato2011-2014/2013/Lei/L12813.htm" Type="http://schemas.openxmlformats.org/officeDocument/2006/relationships/hyperlink" Id="rId15"/><Relationship TargetMode="External" Target="https://www.in.gov.br/web/dou/-/resolucao-n-11-de-11-de-dezembro-de-2017-1101273-1101273" Type="http://schemas.openxmlformats.org/officeDocument/2006/relationships/hyperlink" Id="rId16"/><Relationship TargetMode="External" Target="https://contas.tcu.gov.br/pesquisaJurisprudencia/#/detalhamento/11/%252a/NUMACORDAO%253A715%2520ANOACORDAO%253A2021%2520COLEGIADO%253A%2522Plen%25C3%25A1rio%2522/DTRELEVANCIA%2520desc/false/1" Type="http://schemas.openxmlformats.org/officeDocument/2006/relationships/hyperlink" Id="rId17"/><Relationship TargetMode="External" Target="http://www.planalto.gov.br/ccivil_03/decreto/d22626.htm" Type="http://schemas.openxmlformats.org/officeDocument/2006/relationships/hyperlink" Id="rId18"/><Relationship TargetMode="External" Target="http://www.planalto.gov.br/ccivil_03/leis/2002/l10406compilada.htm" Type="http://schemas.openxmlformats.org/officeDocument/2006/relationships/hyperlink" Id="rId19"/><Relationship TargetMode="External" Target="https://contas.tcu.gov.br/pesquisaJurisprudencia/#/detalhamento/11/%252a/NUMACORDAO%253A724%2520ANOACORDAO%253A2021%2520COLEGIADO%253A%2522Plen%25C3%25A1rio%2522/DTRELEVANCIA%2520desc/false/1" Type="http://schemas.openxmlformats.org/officeDocument/2006/relationships/hyperlink" Id="rId20"/><Relationship TargetMode="External" Target="https://contas.tcu.gov.br/pesquisaJurisprudencia/#/detalhamento/11/%252a/NUMACORDAO%253A735%2520ANOACORDAO%253A2021%2520COLEGIADO%253A%2522Plen%25C3%25A1rio%2522/DTRELEVANCIA%2520desc/false/1" Type="http://schemas.openxmlformats.org/officeDocument/2006/relationships/hyperlink" Id="rId21"/><Relationship TargetMode="External" Target="http://www.planalto.gov.br/ccivil_03/constituicao/constituicao.htm" Type="http://schemas.openxmlformats.org/officeDocument/2006/relationships/hyperlink" Id="rId22"/><Relationship TargetMode="External" Target="https://contas.tcu.gov.br/pesquisaJurisprudencia/#/detalhamento/11/%252a/NUMACORDAO%253A736%2520ANOACORDAO%253A2021%2520COLEGIADO%253A%2522Plen%25C3%25A1rio%2522/DTRELEVANCIA%2520desc/false/1" Type="http://schemas.openxmlformats.org/officeDocument/2006/relationships/hyperlink" Id="rId23"/><Relationship TargetMode="External" Target="https://contas.tcu.gov.br/pesquisaJurisprudencia/#/detalhamento/11/%252a/NUMACORDAO%253A740%2520ANOACORDAO%253A2021%2520COLEGIADO%253A%2522Plen%25C3%25A1rio%2522/DTRELEVANCIA%2520desc/false/1" Type="http://schemas.openxmlformats.org/officeDocument/2006/relationships/hyperlink" Id="rId24"/><Relationship TargetMode="External" Target="https://contas.tcu.gov.br/pesquisaJurisprudencia/#/detalhamento/11/%252a/NUMACORDAO%253A741%2520ANOACORDAO%253A2021%2520COLEGIADO%253A%2522Plen%25C3%25A1rio%2522/DTRELEVANCIA%2520desc/false/1" Type="http://schemas.openxmlformats.org/officeDocument/2006/relationships/hyperlink" Id="rId25"/><Relationship TargetMode="External" Target="http://www.planalto.gov.br/ccivil_03/_ato2015-2018/2015/lei/l13105.htm" Type="http://schemas.openxmlformats.org/officeDocument/2006/relationships/hyperlink" Id="rId26"/><Relationship TargetMode="External" Target="https://contas.tcu.gov.br/pesquisaJurisprudencia/#/detalhamento/11/%252a/NUMACORDAO%253A5330%2520ANOACORDAO%253A2021%2520COLEGIADO%253A%2522Primeira%2520C%25C3%25A2mara%2522/DTRELEVANCIA%2520desc/false/1" Type="http://schemas.openxmlformats.org/officeDocument/2006/relationships/hyperlink" Id="rId27"/><Relationship TargetMode="External" Target="https://www.in.gov.br/en/web/dou/-/resolucao-de-diretoria-colegiada-rdc-n-430-de-8-de-outubro-de-2020-282070593" Type="http://schemas.openxmlformats.org/officeDocument/2006/relationships/hyperlink" Id="rId28"/><Relationship TargetMode="External" Target="https://contas.tcu.gov.br/pesquisaJurisprudencia/#/detalhamento/11/%252a/NUMACORDAO%253A5141%2520ANOACORDAO%253A2021%2520COLEGIADO%253A%2522Segunda%2520C%25C3%25A2mara%2522/DTRELEVANCIA%2520desc/false/1" Type="http://schemas.openxmlformats.org/officeDocument/2006/relationships/hyperlink" Id="rId29"/><Relationship TargetMode="External" Target="mailto:jurisprudenciafaleconosco@tcu.gov.br" Type="http://schemas.openxmlformats.org/officeDocument/2006/relationships/hyperlink" Id="rId30"/><Relationship TargetMode="External" Target="https://portal.tcu.gov.br/carta-de-servicos/servico/#!?nome=protocolo-eletronico&amp;cod=68" Type="http://schemas.openxmlformats.org/officeDocument/2006/relationships/hyperlink" Id="rId31"/><Relationship Target="footer.xml" Type="http://schemas.openxmlformats.org/officeDocument/2006/relationships/footer" Id="rId32"/><Relationship Target="media/image.png" Type="http://schemas.openxmlformats.org/officeDocument/2006/relationships/image" Id="rId3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glossary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fontTable.xml" Type="http://schemas.openxmlformats.org/officeDocument/2006/relationships/fontTable" Id="rId4"></Relationship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1FA234-D354-4B7B-807E-E554F48F1A5A}"/>
      </w:docPartPr>
      <w:docPartBody>
        <w:p w:rsidR="000B4046" w:rsidRDefault="00555B91">
          <w:r w:rsidRPr="00027B7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91"/>
    <w:rsid w:val="000B4046"/>
    <w:rsid w:val="00235988"/>
    <w:rsid w:val="00555B91"/>
    <w:rsid w:val="006E32F3"/>
    <w:rsid w:val="00BA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Fontepargpadro" w:default="true">
    <w:name w:val="Default Paragraph Font"/>
    <w:uiPriority w:val="1"/>
    <w:semiHidden/>
    <w:unhideWhenUsed/>
  </w:style>
  <w:style w:type="table" w:styleId="Tabela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true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5B91"/>
    <w:rPr>
      <w:color w:val="808080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8C800FD-89FC-460F-BD34-BA254AF0DFE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TCU</properties:Company>
  <properties:Pages>1</properties:Pages>
  <properties:Words>113</properties:Words>
  <properties:Characters>615</properties:Characters>
  <properties:Lines>5</properties:Lines>
  <properties:Paragraphs>1</properties:Paragraphs>
  <properties:TotalTime>195</properties:TotalTime>
  <properties:ScaleCrop>false</properties:ScaleCrop>
  <properties:HeadingPairs>
    <vt:vector baseType="variant" size="2">
      <vt:variant>
        <vt:lpstr>Título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727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2014-12-29T18:37:00Z</dcterms:created>
  <dc:creator>Daniela Duarte do Nascimento</dc:creator>
  <dc:description/>
  <cp:keywords/>
  <cp:lastModifiedBy>OTÁVIO SANCHES GOLÇALVES</cp:lastModifiedBy>
  <dcterms:modified xmlns:xsi="http://www.w3.org/2001/XMLSchema-instance" xsi:type="dcterms:W3CDTF">2019-07-12T17:36:00Z</dcterms:modified>
  <cp:revision>30</cp:revision>
  <dc:subject/>
  <dc:title/>
</cp:coreProperties>
</file>